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10,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Gyre Therapeutics,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000-51173</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56-2020050</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516" w:right="339" w:bottom="1440" w:gutter="0" w:footer="0" w:header="0"/>
          <w:type w:val="continuous"/>
        </w:sectPr>
      </w:pPr>
    </w:p>
    <w:p>
      <w:pPr>
        <w:spacing w:after="0" w:line="14"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12730 High Bluff Drive</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Suite 250</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San Diego, CA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92130</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(858) 284-0115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80" w:firstLine="8"/>
        <w:spacing w:after="0" w:line="500" w:lineRule="auto"/>
        <w:tabs>
          <w:tab w:leader="none" w:pos="41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41"/>
        </w:trPr>
        <w:tc>
          <w:tcPr>
            <w:tcW w:w="4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34"/>
        </w:trPr>
        <w:tc>
          <w:tcPr>
            <w:tcW w:w="4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00" w:type="dxa"/>
            <w:vAlign w:val="bottom"/>
          </w:tcPr>
          <w:p>
            <w:pPr>
              <w:spacing w:after="0"/>
              <w:rPr>
                <w:sz w:val="20"/>
                <w:szCs w:val="20"/>
                <w:color w:val="auto"/>
              </w:rPr>
            </w:pPr>
          </w:p>
        </w:tc>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GYRE</w:t>
            </w:r>
          </w:p>
        </w:tc>
        <w:tc>
          <w:tcPr>
            <w:tcW w:w="120" w:type="dxa"/>
            <w:vAlign w:val="bottom"/>
          </w:tcPr>
          <w:p>
            <w:pPr>
              <w:spacing w:after="0"/>
              <w:rPr>
                <w:sz w:val="20"/>
                <w:szCs w:val="20"/>
                <w:color w:val="auto"/>
              </w:rPr>
            </w:pPr>
          </w:p>
        </w:tc>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June 10, 2026, Gyre Therapeutics, Inc. (the “Company”) held its 2026 Annual Meeting of Stockholders (the “Annual Meeting”). As of the close of business on April 16, 2026, the record date for the Annual Meeting, there were 96,994,001 shares of common stock entitled to vote at the meeting.</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 the Annual Meeting, each of the Company’s director nominees was elected and the other proposals voted on were approved. The proposals are described in the Company’s definitive proxy statement filed with the U.S. Securities and Exchange Commission on April 27, 2026. The final voting results are set forth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Class II director nominees were elected to serve until the 2029 Annual Meeting of Stockholders based upon the following votes: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0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45"/>
        </w:trPr>
        <w:tc>
          <w:tcPr>
            <w:tcW w:w="3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80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Non-Votes</w:t>
            </w:r>
          </w:p>
        </w:tc>
      </w:tr>
      <w:tr>
        <w:trPr>
          <w:trHeight w:val="216"/>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David M. Epstein, Ph.D.</w:t>
            </w:r>
          </w:p>
        </w:tc>
        <w:tc>
          <w:tcPr>
            <w:tcW w:w="2800" w:type="dxa"/>
            <w:vAlign w:val="bottom"/>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212121"/>
              </w:rPr>
              <w:t>70,160,332</w:t>
            </w:r>
          </w:p>
        </w:tc>
        <w:tc>
          <w:tcPr>
            <w:tcW w:w="17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212121"/>
              </w:rPr>
              <w:t>354,109</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121"/>
                <w:w w:val="99"/>
              </w:rPr>
              <w:t>1,985,197</w:t>
            </w: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Dan Weng, M.D.</w:t>
            </w:r>
          </w:p>
        </w:tc>
        <w:tc>
          <w:tcPr>
            <w:tcW w:w="2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212121"/>
              </w:rPr>
              <w:t>70,483,425</w:t>
            </w:r>
          </w:p>
        </w:tc>
        <w:tc>
          <w:tcPr>
            <w:tcW w:w="1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212121"/>
              </w:rPr>
              <w:t>31,016</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212121"/>
                <w:w w:val="99"/>
              </w:rPr>
              <w:t>1,985,197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Non-Binding Advisory Vote on 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of the Company’s named executive officers was approved, on a non-binding, advisory basis,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32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64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260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45"/>
        </w:trPr>
        <w:tc>
          <w:tcPr>
            <w:tcW w:w="580" w:type="dxa"/>
            <w:vAlign w:val="bottom"/>
          </w:tcPr>
          <w:p>
            <w:pPr>
              <w:spacing w:after="0"/>
              <w:rPr>
                <w:sz w:val="21"/>
                <w:szCs w:val="21"/>
                <w:color w:val="auto"/>
              </w:rPr>
            </w:pPr>
          </w:p>
        </w:tc>
        <w:tc>
          <w:tcPr>
            <w:tcW w:w="3320" w:type="dxa"/>
            <w:vAlign w:val="bottom"/>
            <w:tcBorders>
              <w:bottom w:val="single" w:sz="8" w:color="auto"/>
            </w:tcBorders>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40" w:type="dxa"/>
            <w:vAlign w:val="bottom"/>
            <w:tcBorders>
              <w:bottom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16"/>
        </w:trPr>
        <w:tc>
          <w:tcPr>
            <w:tcW w:w="580" w:type="dxa"/>
            <w:vAlign w:val="bottom"/>
          </w:tcPr>
          <w:p>
            <w:pPr>
              <w:spacing w:after="0"/>
              <w:rPr>
                <w:sz w:val="18"/>
                <w:szCs w:val="18"/>
                <w:color w:val="auto"/>
              </w:rPr>
            </w:pPr>
          </w:p>
        </w:tc>
        <w:tc>
          <w:tcPr>
            <w:tcW w:w="3320" w:type="dxa"/>
            <w:vAlign w:val="bottom"/>
            <w:shd w:val="clear" w:color="auto" w:fill="CCEEFF"/>
          </w:tcPr>
          <w:p>
            <w:pPr>
              <w:jc w:val="center"/>
              <w:ind w:right="670"/>
              <w:spacing w:after="0"/>
              <w:rPr>
                <w:sz w:val="20"/>
                <w:szCs w:val="20"/>
                <w:color w:val="auto"/>
              </w:rPr>
            </w:pPr>
            <w:r>
              <w:rPr>
                <w:rFonts w:ascii="Times New Roman" w:cs="Times New Roman" w:eastAsia="Times New Roman" w:hAnsi="Times New Roman"/>
                <w:sz w:val="18"/>
                <w:szCs w:val="18"/>
                <w:color w:val="212121"/>
                <w:w w:val="98"/>
              </w:rPr>
              <w:t>70,478,374</w:t>
            </w:r>
          </w:p>
        </w:tc>
        <w:tc>
          <w:tcPr>
            <w:tcW w:w="1640" w:type="dxa"/>
            <w:vAlign w:val="bottom"/>
            <w:shd w:val="clear" w:color="auto" w:fill="CCEEFF"/>
          </w:tcPr>
          <w:p>
            <w:pPr>
              <w:jc w:val="center"/>
              <w:ind w:right="590"/>
              <w:spacing w:after="0"/>
              <w:rPr>
                <w:sz w:val="20"/>
                <w:szCs w:val="20"/>
                <w:color w:val="auto"/>
              </w:rPr>
            </w:pPr>
            <w:r>
              <w:rPr>
                <w:rFonts w:ascii="Times New Roman" w:cs="Times New Roman" w:eastAsia="Times New Roman" w:hAnsi="Times New Roman"/>
                <w:sz w:val="18"/>
                <w:szCs w:val="18"/>
                <w:color w:val="212121"/>
                <w:w w:val="96"/>
              </w:rPr>
              <w:t>34,907</w:t>
            </w:r>
          </w:p>
        </w:tc>
        <w:tc>
          <w:tcPr>
            <w:tcW w:w="26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212121"/>
              </w:rPr>
              <w:t>1,160</w:t>
            </w: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121"/>
                <w:w w:val="99"/>
              </w:rPr>
              <w:t>1,985,197</w:t>
            </w:r>
          </w:p>
        </w:tc>
      </w:tr>
      <w:tr>
        <w:trPr>
          <w:trHeight w:val="432"/>
        </w:trPr>
        <w:tc>
          <w:tcPr>
            <w:tcW w:w="390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Proposal 3: Ratification of Independent Auditor</w:t>
            </w:r>
          </w:p>
        </w:tc>
        <w:tc>
          <w:tcPr>
            <w:tcW w:w="16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pacing w:after="0" w:line="19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appointment of Grant Thornton Zhitong Certified Public Accountants LLP as the Company’s independent registered public accounting firm for the year ending December 31, 2026 was ratified as follows: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260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45"/>
        </w:trPr>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16"/>
        </w:trPr>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121"/>
                <w:w w:val="98"/>
              </w:rPr>
              <w:t>72,487,596</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121"/>
                <w:w w:val="96"/>
              </w:rPr>
              <w:t>11,626</w:t>
            </w:r>
          </w:p>
        </w:tc>
        <w:tc>
          <w:tcPr>
            <w:tcW w:w="260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212121"/>
              </w:rPr>
              <w:t>416</w:t>
            </w: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121"/>
                <w:w w:val="88"/>
              </w:rPr>
              <w:t>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4: Approval of Conversion of Series B Preferred Stock</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issuance of shares of the Company’s common stock, par value $0.001 per share, upon conversion of the Company’s Series B Convertible Preferred Stock, par value $0.001 per share, was approved, in accordance with Nasdaq Listing Rule 5635(a),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9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300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560" w:type="dxa"/>
            <w:vAlign w:val="bottom"/>
          </w:tcPr>
          <w:p>
            <w:pPr>
              <w:spacing w:after="0"/>
              <w:rPr>
                <w:sz w:val="18"/>
                <w:szCs w:val="18"/>
                <w:color w:val="auto"/>
              </w:rPr>
            </w:pPr>
          </w:p>
        </w:tc>
      </w:tr>
      <w:tr>
        <w:trPr>
          <w:trHeight w:val="245"/>
        </w:trPr>
        <w:tc>
          <w:tcPr>
            <w:tcW w:w="580" w:type="dxa"/>
            <w:vAlign w:val="bottom"/>
          </w:tcPr>
          <w:p>
            <w:pPr>
              <w:spacing w:after="0"/>
              <w:rPr>
                <w:sz w:val="21"/>
                <w:szCs w:val="21"/>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6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000" w:type="dxa"/>
            <w:vAlign w:val="bottom"/>
            <w:tcBorders>
              <w:bottom w:val="single" w:sz="8" w:color="auto"/>
            </w:tcBorders>
          </w:tcPr>
          <w:p>
            <w:pPr>
              <w:jc w:val="center"/>
              <w:ind w:left="336"/>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c>
          <w:tcPr>
            <w:tcW w:w="560" w:type="dxa"/>
            <w:vAlign w:val="bottom"/>
          </w:tcPr>
          <w:p>
            <w:pPr>
              <w:spacing w:after="0"/>
              <w:rPr>
                <w:sz w:val="21"/>
                <w:szCs w:val="21"/>
                <w:color w:val="auto"/>
              </w:rPr>
            </w:pPr>
          </w:p>
        </w:tc>
      </w:tr>
      <w:tr>
        <w:trPr>
          <w:trHeight w:val="216"/>
        </w:trPr>
        <w:tc>
          <w:tcPr>
            <w:tcW w:w="580" w:type="dxa"/>
            <w:vAlign w:val="bottom"/>
          </w:tcPr>
          <w:p>
            <w:pPr>
              <w:spacing w:after="0"/>
              <w:rPr>
                <w:sz w:val="18"/>
                <w:szCs w:val="18"/>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121"/>
                <w:w w:val="98"/>
              </w:rPr>
              <w:t>70,497,125</w:t>
            </w:r>
          </w:p>
        </w:tc>
        <w:tc>
          <w:tcPr>
            <w:tcW w:w="196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212121"/>
                <w:w w:val="96"/>
              </w:rPr>
              <w:t>16,031</w:t>
            </w:r>
          </w:p>
        </w:tc>
        <w:tc>
          <w:tcPr>
            <w:tcW w:w="300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212121"/>
              </w:rPr>
              <w:t>1,285</w:t>
            </w: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121"/>
                <w:w w:val="99"/>
              </w:rPr>
              <w:t>1,985,197</w:t>
            </w:r>
          </w:p>
        </w:tc>
        <w:tc>
          <w:tcPr>
            <w:tcW w:w="560" w:type="dxa"/>
            <w:vAlign w:val="bottom"/>
          </w:tcPr>
          <w:p>
            <w:pPr>
              <w:spacing w:after="0"/>
              <w:rPr>
                <w:sz w:val="18"/>
                <w:szCs w:val="18"/>
                <w:color w:val="auto"/>
              </w:rPr>
            </w:pPr>
          </w:p>
        </w:tc>
      </w:tr>
      <w:tr>
        <w:trPr>
          <w:trHeight w:val="557"/>
        </w:trPr>
        <w:tc>
          <w:tcPr>
            <w:tcW w:w="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0" w:type="dxa"/>
            <w:vAlign w:val="bottom"/>
          </w:tcPr>
          <w:p>
            <w:pPr>
              <w:jc w:val="right"/>
              <w:ind w:right="2396"/>
              <w:spacing w:after="0"/>
              <w:rPr>
                <w:sz w:val="20"/>
                <w:szCs w:val="20"/>
                <w:color w:val="auto"/>
              </w:rPr>
            </w:pPr>
            <w:r>
              <w:rPr>
                <w:rFonts w:ascii="Times New Roman" w:cs="Times New Roman" w:eastAsia="Times New Roman" w:hAnsi="Times New Roman"/>
                <w:sz w:val="14"/>
                <w:szCs w:val="14"/>
                <w:color w:val="auto"/>
              </w:rPr>
              <w:t>2</w:t>
            </w:r>
          </w:p>
        </w:tc>
        <w:tc>
          <w:tcPr>
            <w:tcW w:w="25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4"/>
        </w:trPr>
        <w:tc>
          <w:tcPr>
            <w:tcW w:w="58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GYRE THERAPEUTICS, INC.</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June 16, 2026</w:t>
            </w:r>
          </w:p>
        </w:tc>
        <w:tc>
          <w:tcPr>
            <w:tcW w:w="27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Eastling</w:t>
            </w:r>
          </w:p>
        </w:tc>
      </w:tr>
      <w:tr>
        <w:trPr>
          <w:trHeight w:val="198"/>
        </w:trPr>
        <w:tc>
          <w:tcPr>
            <w:tcW w:w="3520" w:type="dxa"/>
            <w:vAlign w:val="bottom"/>
          </w:tcPr>
          <w:p>
            <w:pPr>
              <w:spacing w:after="0"/>
              <w:rPr>
                <w:sz w:val="17"/>
                <w:szCs w:val="17"/>
                <w:color w:val="auto"/>
              </w:rPr>
            </w:pPr>
          </w:p>
        </w:tc>
        <w:tc>
          <w:tcPr>
            <w:tcW w:w="2720" w:type="dxa"/>
            <w:vAlign w:val="bottom"/>
          </w:tcPr>
          <w:p>
            <w:pPr>
              <w:ind w:left="21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Thomas Eastling</w:t>
            </w:r>
          </w:p>
        </w:tc>
      </w:tr>
      <w:tr>
        <w:trPr>
          <w:trHeight w:val="234"/>
        </w:trPr>
        <w:tc>
          <w:tcPr>
            <w:tcW w:w="3520" w:type="dxa"/>
            <w:vAlign w:val="bottom"/>
          </w:tcPr>
          <w:p>
            <w:pPr>
              <w:spacing w:after="0"/>
              <w:rPr>
                <w:sz w:val="20"/>
                <w:szCs w:val="20"/>
                <w:color w:val="auto"/>
              </w:rPr>
            </w:pPr>
          </w:p>
        </w:tc>
        <w:tc>
          <w:tcPr>
            <w:tcW w:w="27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98"/>
        </w:trPr>
        <w:tc>
          <w:tcPr>
            <w:tcW w:w="3520" w:type="dxa"/>
            <w:vAlign w:val="bottom"/>
          </w:tcPr>
          <w:p>
            <w:pPr>
              <w:spacing w:after="0"/>
              <w:rPr>
                <w:sz w:val="24"/>
                <w:szCs w:val="24"/>
                <w:color w:val="auto"/>
              </w:rPr>
            </w:pPr>
          </w:p>
        </w:tc>
        <w:tc>
          <w:tcPr>
            <w:tcW w:w="2720" w:type="dxa"/>
            <w:vAlign w:val="bottom"/>
          </w:tcPr>
          <w:p>
            <w:pPr>
              <w:ind w:left="2060"/>
              <w:spacing w:after="0"/>
              <w:rPr>
                <w:sz w:val="20"/>
                <w:szCs w:val="20"/>
                <w:color w:val="auto"/>
              </w:rPr>
            </w:pPr>
            <w:r>
              <w:rPr>
                <w:rFonts w:ascii="Times New Roman" w:cs="Times New Roman" w:eastAsia="Times New Roman" w:hAnsi="Times New Roman"/>
                <w:sz w:val="14"/>
                <w:szCs w:val="14"/>
                <w:color w:val="auto"/>
              </w:rPr>
              <w:t>3</w:t>
            </w:r>
          </w:p>
        </w:tc>
        <w:tc>
          <w:tcPr>
            <w:tcW w:w="5000" w:type="dxa"/>
            <w:vAlign w:val="bottom"/>
          </w:tcPr>
          <w:p>
            <w:pPr>
              <w:spacing w:after="0"/>
              <w:rPr>
                <w:sz w:val="24"/>
                <w:szCs w:val="24"/>
                <w:color w:val="auto"/>
              </w:rPr>
            </w:pPr>
          </w:p>
        </w:tc>
      </w:tr>
      <w:tr>
        <w:trPr>
          <w:trHeight w:val="84"/>
        </w:trPr>
        <w:tc>
          <w:tcPr>
            <w:tcW w:w="3520" w:type="dxa"/>
            <w:vAlign w:val="bottom"/>
            <w:tcBorders>
              <w:bottom w:val="single" w:sz="8" w:color="auto"/>
            </w:tcBorders>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500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2026-06-16T05:32:41Z</dcterms:created>
  <dcterms:modified xsi:type="dcterms:W3CDTF">2026-06-16T05:32:41Z</dcterms:modified>
</cp:coreProperties>
</file>