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160" w:type="dxa"/>
            <w:vAlign w:val="bottom"/>
            <w:gridSpan w:val="3"/>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Parry Renate</w:t>
              </w:r>
            </w:hyperlink>
          </w:p>
        </w:tc>
        <w:tc>
          <w:tcPr>
            <w:tcW w:w="13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GYRE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GYRE</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160" w:type="dxa"/>
            <w:vAlign w:val="bottom"/>
            <w:gridSpan w:val="3"/>
            <w:vMerge w:val="continue"/>
          </w:tcPr>
          <w:p>
            <w:pPr>
              <w:spacing w:after="0"/>
              <w:rPr>
                <w:sz w:val="6"/>
                <w:szCs w:val="6"/>
                <w:color w:val="auto"/>
              </w:rPr>
            </w:pPr>
          </w:p>
        </w:tc>
        <w:tc>
          <w:tcPr>
            <w:tcW w:w="13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40" w:type="dxa"/>
            <w:vAlign w:val="bottom"/>
            <w:tcBorders>
              <w:bottom w:val="single" w:sz="8" w:color="0000EE"/>
            </w:tcBorders>
          </w:tcPr>
          <w:p>
            <w:pPr>
              <w:spacing w:after="0"/>
              <w:rPr>
                <w:sz w:val="6"/>
                <w:szCs w:val="6"/>
                <w:color w:val="auto"/>
              </w:rPr>
            </w:pPr>
          </w:p>
        </w:tc>
        <w:tc>
          <w:tcPr>
            <w:tcW w:w="11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160" w:type="dxa"/>
            <w:vAlign w:val="bottom"/>
            <w:gridSpan w:val="3"/>
            <w:vMerge w:val="continue"/>
          </w:tcPr>
          <w:p>
            <w:pPr>
              <w:spacing w:after="0"/>
              <w:rPr>
                <w:sz w:val="5"/>
                <w:szCs w:val="5"/>
                <w:color w:val="auto"/>
              </w:rPr>
            </w:pPr>
          </w:p>
        </w:tc>
        <w:tc>
          <w:tcPr>
            <w:tcW w:w="13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8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3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60" w:type="dxa"/>
            <w:vAlign w:val="bottom"/>
            <w:tcBorders>
              <w:top w:val="single" w:sz="8" w:color="EEEEEE"/>
            </w:tcBorders>
          </w:tcPr>
          <w:p>
            <w:pPr>
              <w:spacing w:after="0"/>
              <w:rPr>
                <w:sz w:val="2"/>
                <w:szCs w:val="2"/>
                <w:color w:val="auto"/>
              </w:rPr>
            </w:pPr>
          </w:p>
        </w:tc>
        <w:tc>
          <w:tcPr>
            <w:tcW w:w="130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60" w:type="dxa"/>
            <w:vAlign w:val="bottom"/>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1300" w:type="dxa"/>
            <w:vAlign w:val="bottom"/>
            <w:vMerge w:val="restart"/>
          </w:tcPr>
          <w:p>
            <w:pPr>
              <w:ind w:left="8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160" w:type="dxa"/>
            <w:vAlign w:val="bottom"/>
            <w:gridSpan w:val="3"/>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8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06/10/2026</w:t>
            </w:r>
          </w:p>
        </w:tc>
        <w:tc>
          <w:tcPr>
            <w:tcW w:w="11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GYRE THERAPEUTICS, INC.</w:t>
            </w:r>
          </w:p>
        </w:tc>
        <w:tc>
          <w:tcPr>
            <w:tcW w:w="280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12730 HIGH BLUFF DRIVE, SUITE 250</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640" w:type="dxa"/>
            <w:vAlign w:val="bottom"/>
            <w:tcBorders>
              <w:bottom w:val="single" w:sz="8" w:color="2C2C2C"/>
            </w:tcBorders>
          </w:tcPr>
          <w:p>
            <w:pPr>
              <w:spacing w:after="0"/>
              <w:rPr>
                <w:sz w:val="11"/>
                <w:szCs w:val="11"/>
                <w:color w:val="auto"/>
              </w:rPr>
            </w:pPr>
          </w:p>
        </w:tc>
        <w:tc>
          <w:tcPr>
            <w:tcW w:w="112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DIEGO</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92130</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5.95</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06/10/2026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40,000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06/10/2036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40,000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40,000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50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represents a right to purchase a total of 40,000 shares of the Issuer's common stock, which will vest in 12 equal monthly installments through June 10, 2027, subject to the Reporting Person's continued service to the Issuer through each vesting date.</w:t>
      </w:r>
    </w:p>
    <w:p>
      <w:pPr>
        <w:spacing w:after="0" w:line="44"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Thomas Eastling,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9874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87425" cy="8255"/>
                    </a:xfrm>
                    <a:prstGeom prst="rect">
                      <a:avLst/>
                    </a:prstGeom>
                    <a:noFill/>
                  </pic:spPr>
                </pic:pic>
              </a:graphicData>
            </a:graphic>
          </wp:anchor>
        </w:drawing>
      </w:r>
    </w:p>
    <w:p>
      <w:pPr>
        <w:spacing w:after="0" w:line="2"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Renate</w:t>
      </w:r>
      <w:r>
        <w:rPr>
          <w:sz w:val="20"/>
          <w:szCs w:val="20"/>
          <w:color w:val="auto"/>
        </w:rPr>
        <w:tab/>
      </w:r>
      <w:r>
        <w:rPr>
          <w:rFonts w:ascii="Times New Roman" w:cs="Times New Roman" w:eastAsia="Times New Roman" w:hAnsi="Times New Roman"/>
          <w:sz w:val="16"/>
          <w:szCs w:val="16"/>
          <w:color w:val="0000FF"/>
        </w:rPr>
        <w:t>06/30/2026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53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Parry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2305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30505" cy="8255"/>
                    </a:xfrm>
                    <a:prstGeom prst="rect">
                      <a:avLst/>
                    </a:prstGeom>
                    <a:noFill/>
                  </pic:spPr>
                </pic:pic>
              </a:graphicData>
            </a:graphic>
          </wp:anchor>
        </w:drawing>
      </w:r>
    </w:p>
    <w:p>
      <w:pPr>
        <w:spacing w:after="0" w:line="31"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982817" TargetMode="External"/><Relationship Id="rId14" Type="http://schemas.openxmlformats.org/officeDocument/2006/relationships/hyperlink" Target="http://www.sec.gov/cgi-bin/browse-edgar?action=getcompany&amp;CIK=00011241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2026-06-30T17:49:31Z</dcterms:created>
  <dcterms:modified xsi:type="dcterms:W3CDTF">2026-06-30T17:49:31Z</dcterms:modified>
</cp:coreProperties>
</file>