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75357_s8.htm"/>
      <w:bookmarkStart w:id="1" w:name="ksef20075357_s8"/>
      <w:bookmarkEnd w:id="0"/>
      <w:bookmarkEnd w:id="1"/>
      <w:r>
        <w:rPr>
          <w:rFonts w:ascii="Times New Roman" w:hAnsi="Times New Roman"/>
          <w:b/>
          <w:color w:val="000000"/>
          <w:sz w:val="20"/>
        </w:rPr>
        <w:t>As filed with the Securities and Exchange Commission on June 9, 2026</w:t>
      </w:r>
    </w:p>
    <w:p>
      <w:pPr>
        <w:pStyle w:val="TextBody"/>
        <w:bidi w:val="0"/>
        <w:spacing w:before="0" w:after="0"/>
        <w:ind w:left="0" w:right="720" w:hanging="0"/>
        <w:jc w:val="right"/>
        <w:rPr>
          <w:rFonts w:ascii="Times New Roman" w:hAnsi="Times New Roman"/>
          <w:b/>
          <w:color w:val="000000"/>
          <w:sz w:val="20"/>
        </w:rPr>
      </w:pPr>
      <w:r>
        <w:rPr>
          <w:rFonts w:ascii="Times New Roman" w:hAnsi="Times New Roman"/>
          <w:b/>
          <w:color w:val="000000"/>
          <w:sz w:val="20"/>
        </w:rPr>
        <w:t>Registration No. 333-</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THE SECURITIES ACT OF 1933</w:t>
      </w:r>
    </w:p>
    <w:p>
      <w:pPr>
        <w:pStyle w:val="HorizontalLine"/>
        <w:pBdr>
          <w:bottom w:val="single" w:sz="12" w:space="0" w:color="808080"/>
        </w:pBdr>
        <w:bidi w:val="0"/>
        <w:jc w:val="left"/>
        <w:rPr/>
      </w:pPr>
      <w:r>
        <w:rPr/>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Gyre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 w:name="z9eeced27a4744cd3bc1c4b30e749bdd7"/>
      <w:bookmarkStart w:id="3" w:name="z9eeced27a4744cd3bc1c4b30e749bdd7"/>
      <w:bookmarkEnd w:id="3"/>
    </w:p>
    <w:tbl>
      <w:tblPr>
        <w:tblW w:w="9978" w:type="dxa"/>
        <w:jc w:val="left"/>
        <w:tblInd w:w="0" w:type="dxa"/>
        <w:tblLayout w:type="fixed"/>
        <w:tblCellMar>
          <w:top w:w="0" w:type="dxa"/>
          <w:left w:w="0" w:type="dxa"/>
          <w:bottom w:w="0" w:type="dxa"/>
          <w:right w:w="0" w:type="dxa"/>
        </w:tblCellMar>
      </w:tblPr>
      <w:tblGrid>
        <w:gridCol w:w="6305"/>
        <w:gridCol w:w="23"/>
        <w:gridCol w:w="3650"/>
      </w:tblGrid>
      <w:tr>
        <w:trPr/>
        <w:tc>
          <w:tcPr>
            <w:tcW w:w="6305" w:type="dxa"/>
            <w:tcBorders/>
            <w:vAlign w:val="center"/>
          </w:tcPr>
          <w:p>
            <w:pPr>
              <w:pStyle w:val="TableContents"/>
              <w:bidi w:val="0"/>
              <w:spacing w:before="0" w:after="283"/>
              <w:jc w:val="center"/>
              <w:rPr>
                <w:b/>
              </w:rPr>
            </w:pPr>
            <w:r>
              <w:rPr>
                <w:b/>
              </w:rPr>
              <w:t>Delaware</w:t>
            </w:r>
          </w:p>
        </w:tc>
        <w:tc>
          <w:tcPr>
            <w:tcW w:w="23" w:type="dxa"/>
            <w:tcBorders/>
            <w:vAlign w:val="center"/>
          </w:tcPr>
          <w:p>
            <w:pPr>
              <w:pStyle w:val="TableContents"/>
              <w:bidi w:val="0"/>
              <w:spacing w:before="0" w:after="283"/>
              <w:jc w:val="left"/>
              <w:rPr/>
            </w:pPr>
            <w:r>
              <w:rPr/>
            </w:r>
          </w:p>
        </w:tc>
        <w:tc>
          <w:tcPr>
            <w:tcW w:w="3650" w:type="dxa"/>
            <w:tcBorders/>
            <w:vAlign w:val="center"/>
          </w:tcPr>
          <w:p>
            <w:pPr>
              <w:pStyle w:val="TableContents"/>
              <w:bidi w:val="0"/>
              <w:spacing w:before="0" w:after="0"/>
              <w:jc w:val="center"/>
              <w:rPr>
                <w:b/>
                <w:color w:val="000000"/>
              </w:rPr>
            </w:pPr>
            <w:r>
              <w:rPr>
                <w:b/>
                <w:color w:val="000000"/>
              </w:rPr>
              <w:t>56-2020050</w:t>
            </w:r>
          </w:p>
        </w:tc>
      </w:tr>
      <w:tr>
        <w:trPr/>
        <w:tc>
          <w:tcPr>
            <w:tcW w:w="6305"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23" w:type="dxa"/>
            <w:tcBorders/>
            <w:vAlign w:val="center"/>
          </w:tcPr>
          <w:p>
            <w:pPr>
              <w:pStyle w:val="TableContents"/>
              <w:bidi w:val="0"/>
              <w:spacing w:before="0" w:after="283"/>
              <w:jc w:val="left"/>
              <w:rPr/>
            </w:pPr>
            <w:r>
              <w:rPr/>
            </w:r>
          </w:p>
        </w:tc>
        <w:tc>
          <w:tcPr>
            <w:tcW w:w="3650"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Gyre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12730 High Bluff Drive, Suite 250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San Diego, California 92130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of registrant’s principal executive offices)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 2018 Equity Incentive Plan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Ying Luo, Ph.D.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Gyre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12730 High Bluff Drive, Suite 250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San Diego, California 92130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(858) 284-0115</w:t>
      </w:r>
    </w:p>
    <w:p>
      <w:pPr>
        <w:pStyle w:val="TextBody"/>
        <w:bidi w:val="0"/>
        <w:spacing w:before="0" w:after="0"/>
        <w:jc w:val="center"/>
        <w:rPr>
          <w:color w:val="000000"/>
        </w:rPr>
      </w:pPr>
      <w:r>
        <w:rPr>
          <w:color w:val="000000"/>
        </w:rPr>
        <w:t> </w:t>
      </w:r>
      <w:r>
        <w:rPr>
          <w:rFonts w:ascii="Times New Roman" w:hAnsi="Times New Roman"/>
          <w:color w:val="000000"/>
          <w:sz w:val="20"/>
        </w:rPr>
        <w:t>(Name, address and telephone number (including area code) of agent for service)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Copy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Sean Feller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Gibson, Dunn &amp; Crutcher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2000 Avenue of the Stars, Suite 1200N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Los Angeles, CA 90067-4700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(310) 552-8500</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3db513064794aa5bc578381dd52cb81"/>
      <w:bookmarkStart w:id="5" w:name="z43db513064794aa5bc578381dd52cb81"/>
      <w:bookmarkEnd w:id="5"/>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before="0" w:after="0"/>
              <w:ind w:left="360" w:right="0" w:hanging="0"/>
              <w:jc w:val="left"/>
              <w:rPr>
                <w:color w:val="000000"/>
              </w:rPr>
            </w:pPr>
            <w:r>
              <w:rPr>
                <w:color w:val="00000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Accelerated filer</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360" w:right="0" w:hanging="0"/>
              <w:jc w:val="left"/>
              <w:rPr>
                <w:color w:val="000000"/>
              </w:rPr>
            </w:pPr>
            <w:r>
              <w:rPr>
                <w:color w:val="00000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000000"/>
              </w:rPr>
            </w:pPr>
            <w:r>
              <w:rPr>
                <w:color w:val="000000"/>
              </w:rPr>
              <w:t>Emerging growth company</w:t>
            </w:r>
          </w:p>
        </w:tc>
        <w:tc>
          <w:tcPr>
            <w:tcW w:w="23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May 4, 2026, pursuant to that certain Agreement and Plan of Merger and Reorganization dated as of March 2, 2026 between Gyre Therapeutics, Inc., a Delaware corporation (the “Registrant”), Cullgen Inc., a Delaware corporation (“Cullgen”), and Helix Merger Sub Corp., a Delaware corporation and wholly-owned subsidiary of the Registrant (“Merger Sub”), Merger Sub merged with and into Cullgen, with Cullgen continuing as the surviving corporation and a wholly owned subsidiary of the Registrant (the “Merger”). In connection with the Merger, the Cullgen Inc. 2018 Equity Incentive Plan (the “Cullgen Plan”), as well as certain equity awards that were granted and outstanding under the Cullgen Plan, were assumed by the Registrant (such awards, the “Assumed Awards”) and converted into equity awards in respect of shares of the Registrant’s common stock, par value $0.001 per share (“Common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Registration Statement on Form S-8 (this “Registration Statement”) is being filed by the Registrant for the purpose of registering an additional 4,156,800 shares of Common Stock issuable pursuant to Assumed Awards under the Cullgen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documents containing the information specified in Part I of Form S-8 will be delivered to employees as specified by Rule 428(b)(1) of the Securities Act. In accordance with the instructions of Part I of Form S-8, such documents are not being filed with the Securities and Exchange Commission (the “Commission”)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f596581bf83147dca734ed6df3047e38"/>
      <w:bookmarkStart w:id="7" w:name="zf596581bf83147dca734ed6df3047e38"/>
      <w:bookmarkEnd w:id="7"/>
    </w:p>
    <w:tbl>
      <w:tblPr>
        <w:tblW w:w="5950" w:type="dxa"/>
        <w:jc w:val="left"/>
        <w:tblInd w:w="0" w:type="dxa"/>
        <w:tblLayout w:type="fixed"/>
        <w:tblCellMar>
          <w:top w:w="0" w:type="dxa"/>
          <w:left w:w="0" w:type="dxa"/>
          <w:bottom w:w="0" w:type="dxa"/>
          <w:right w:w="0" w:type="dxa"/>
        </w:tblCellMar>
      </w:tblPr>
      <w:tblGrid>
        <w:gridCol w:w="740"/>
        <w:gridCol w:w="521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5210" w:type="dxa"/>
            <w:tcBorders/>
            <w:vAlign w:val="center"/>
          </w:tcPr>
          <w:p>
            <w:pPr>
              <w:pStyle w:val="TableContents"/>
              <w:bidi w:val="0"/>
              <w:spacing w:before="0" w:after="0"/>
              <w:jc w:val="left"/>
              <w:rPr>
                <w:b/>
                <w:color w:val="000000"/>
              </w:rPr>
            </w:pPr>
            <w:r>
              <w:rPr>
                <w:b/>
                <w:color w:val="000000"/>
              </w:rPr>
              <w:t>Incorporation of Certain Documents by Reference.</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documents filed by the Registrant with the Commission are incorporated by reference herein and shall be deemed to be a part hereof: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9683b48164164c86994063f05018324a"/>
      <w:bookmarkStart w:id="9" w:name="z9683b48164164c86994063f05018324a"/>
      <w:bookmarkEnd w:id="9"/>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color w:val="000000"/>
              </w:rPr>
            </w:pPr>
            <w:r>
              <w:rPr>
                <w:color w:val="000000"/>
              </w:rPr>
              <w:t>1.</w:t>
            </w:r>
          </w:p>
        </w:tc>
        <w:tc>
          <w:tcPr>
            <w:tcW w:w="9947" w:type="dxa"/>
            <w:tcBorders/>
            <w:vAlign w:val="center"/>
          </w:tcPr>
          <w:p>
            <w:pPr>
              <w:pStyle w:val="TableContents"/>
              <w:bidi w:val="0"/>
              <w:spacing w:before="0" w:after="0"/>
              <w:jc w:val="left"/>
              <w:rPr/>
            </w:pPr>
            <w:hyperlink r:id="rId2">
              <w:r>
                <w:rPr>
                  <w:rStyle w:val="InternetLink"/>
                </w:rPr>
                <w:t>The Registrant's Annual Report on Form 10-K for the fiscal year ended December 31, 2025, filed with the Commission on March 13, 2026</w:t>
              </w:r>
            </w:hyperlink>
            <w:hyperlink r:id="rId3">
              <w:r>
                <w:rPr>
                  <w:rStyle w:val="InternetLink"/>
                  <w:color w:val="000000"/>
                </w:rPr>
                <w:t>;</w:t>
              </w:r>
            </w:hyperlink>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a55a61acd6534918bb64edca83e30d4a"/>
      <w:bookmarkStart w:id="11" w:name="za55a61acd6534918bb64edca83e30d4a"/>
      <w:bookmarkEnd w:id="11"/>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color w:val="000000"/>
              </w:rPr>
            </w:pPr>
            <w:r>
              <w:rPr>
                <w:color w:val="000000"/>
              </w:rPr>
              <w:t>2.</w:t>
            </w:r>
          </w:p>
        </w:tc>
        <w:tc>
          <w:tcPr>
            <w:tcW w:w="9983" w:type="dxa"/>
            <w:tcBorders/>
            <w:vAlign w:val="center"/>
          </w:tcPr>
          <w:p>
            <w:pPr>
              <w:pStyle w:val="TableContents"/>
              <w:bidi w:val="0"/>
              <w:spacing w:before="0" w:after="0"/>
              <w:jc w:val="left"/>
              <w:rPr/>
            </w:pPr>
            <w:hyperlink r:id="rId4">
              <w:r>
                <w:rPr>
                  <w:rStyle w:val="InternetLink"/>
                </w:rPr>
                <w:t>The Registrant's Quarterly Report on Form 10-Q for the fiscal quarter ended March 31, 2026, filed with the Commission on May 8, 2026</w:t>
              </w:r>
            </w:hyperlink>
            <w:hyperlink r:id="rId5">
              <w:r>
                <w:rPr>
                  <w:rStyle w:val="InternetLink"/>
                  <w:color w:val="000000"/>
                </w:rPr>
                <w:t>;</w:t>
              </w:r>
            </w:hyperlink>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5ed0a112e7dc430180a582e5c2df3714"/>
      <w:bookmarkStart w:id="13" w:name="z5ed0a112e7dc430180a582e5c2df3714"/>
      <w:bookmarkEnd w:id="13"/>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color w:val="000000"/>
              </w:rPr>
            </w:pPr>
            <w:r>
              <w:rPr>
                <w:color w:val="000000"/>
              </w:rPr>
              <w:t>3.</w:t>
            </w:r>
          </w:p>
        </w:tc>
        <w:tc>
          <w:tcPr>
            <w:tcW w:w="10003" w:type="dxa"/>
            <w:tcBorders/>
            <w:vAlign w:val="center"/>
          </w:tcPr>
          <w:p>
            <w:pPr>
              <w:pStyle w:val="TableContents"/>
              <w:bidi w:val="0"/>
              <w:spacing w:before="0" w:after="0"/>
              <w:jc w:val="left"/>
              <w:rPr/>
            </w:pPr>
            <w:r>
              <w:rPr>
                <w:color w:val="000000"/>
              </w:rPr>
              <w:t xml:space="preserve">The Registrant’s Current Reports on Form 8-K filed with the Commission on </w:t>
            </w:r>
            <w:hyperlink r:id="rId6">
              <w:r>
                <w:rPr>
                  <w:rStyle w:val="InternetLink"/>
                </w:rPr>
                <w:t>March 2, 2026</w:t>
              </w:r>
            </w:hyperlink>
            <w:r>
              <w:rPr/>
              <w:t xml:space="preserve"> (as amended by the Registrant's current report on Form 8-K/A filed with the Commission on </w:t>
            </w:r>
            <w:hyperlink r:id="rId7">
              <w:r>
                <w:rPr>
                  <w:rStyle w:val="InternetLink"/>
                </w:rPr>
                <w:t>April 17, 2026</w:t>
              </w:r>
            </w:hyperlink>
            <w:r>
              <w:rPr/>
              <w:t>),</w:t>
            </w:r>
            <w:r>
              <w:rPr>
                <w:color w:val="000000"/>
              </w:rPr>
              <w:t> </w:t>
            </w:r>
            <w:hyperlink r:id="rId8">
              <w:r>
                <w:rPr>
                  <w:rStyle w:val="InternetLink"/>
                </w:rPr>
                <w:t>March 23, 2026</w:t>
              </w:r>
            </w:hyperlink>
            <w:r>
              <w:rPr/>
              <w:t xml:space="preserve"> and </w:t>
            </w:r>
            <w:hyperlink r:id="rId9">
              <w:r>
                <w:rPr>
                  <w:rStyle w:val="InternetLink"/>
                </w:rPr>
                <w:t>May 4, 2026</w:t>
              </w:r>
            </w:hyperlink>
            <w:r>
              <w:rPr>
                <w:color w:val="000000"/>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fa30a3afe97445e2a5ba1035df371cdb"/>
      <w:bookmarkStart w:id="15" w:name="zfa30a3afe97445e2a5ba1035df371cdb"/>
      <w:bookmarkEnd w:id="15"/>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color w:val="000000"/>
              </w:rPr>
            </w:pPr>
            <w:r>
              <w:rPr>
                <w:color w:val="000000"/>
              </w:rPr>
              <w:t>4.</w:t>
            </w:r>
          </w:p>
        </w:tc>
        <w:tc>
          <w:tcPr>
            <w:tcW w:w="10008" w:type="dxa"/>
            <w:tcBorders/>
            <w:vAlign w:val="center"/>
          </w:tcPr>
          <w:p>
            <w:pPr>
              <w:pStyle w:val="TableContents"/>
              <w:bidi w:val="0"/>
              <w:spacing w:before="0" w:after="0"/>
              <w:jc w:val="left"/>
              <w:rPr/>
            </w:pPr>
            <w:r>
              <w:rPr>
                <w:color w:val="000000"/>
              </w:rPr>
              <w:t xml:space="preserve">The description of the Common Stock contained in </w:t>
            </w:r>
            <w:hyperlink r:id="rId10">
              <w:r>
                <w:rPr>
                  <w:rStyle w:val="InternetLink"/>
                </w:rPr>
                <w:t>Exhibit 4.1</w:t>
              </w:r>
            </w:hyperlink>
            <w:r>
              <w:rPr>
                <w:color w:val="000000"/>
              </w:rPr>
              <w:t xml:space="preserve"> to the Registrant’s Annual Report on Form 10-K for the fiscal year ended December 31, 2024, filed with the Commission on March 17, 2025, including any amendments or reports filed for the purpose of updating such description.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all documents filed by the Registrant pursuant to Sections 13(a), 13(c), 14 or 15(d) of the Securities Exchange Act of 1934, as amended (the “Exchange Act”), after the date hereof, but prior to the filing of a post-effective amendment to this Registration Statement that indicates that all securities offered hereby have been sold or that deregisters all such securities then remaining unsold, shall be deemed to be incorporated by reference in this Registration Statement and to be a part hereof from the date of filing of such documents.  Notwithstanding the foregoing, unless specifically stated to the contrary in such filing, none of the information that the Registrant discloses under Items 2.02 or 7.01 of any Current Report on Form 8-K that it may from time to time furnish to the Commission will be incorporated by reference into, or otherwise be included in or deemed to be a part of, this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herein or in any other subsequently filed document that also is or is deemed to be incorporated herein by reference modifies or supersedes such document or such statement in such document. Any statement so modified or superseded shall not be deemed, except as so modified or superseded, to constitute a part of this Registration Statement. Subject to the foregoing, all information in this Registration Statement is so qualified in its entirety by the information appearing in the documents incorporated herein by reference.</w:t>
      </w:r>
    </w:p>
    <w:p>
      <w:pPr>
        <w:pStyle w:val="TextBody"/>
        <w:bidi w:val="0"/>
        <w:spacing w:before="0" w:after="0"/>
        <w:jc w:val="left"/>
        <w:rPr>
          <w:color w:val="000000"/>
        </w:rPr>
      </w:pPr>
      <w:r>
        <w:rPr>
          <w:color w:val="00000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fbc6174f76af423fa723eefe67c8409b"/>
      <w:bookmarkStart w:id="17" w:name="zfbc6174f76af423fa723eefe67c8409b"/>
      <w:bookmarkEnd w:id="17"/>
    </w:p>
    <w:tbl>
      <w:tblPr>
        <w:tblW w:w="3295" w:type="dxa"/>
        <w:jc w:val="left"/>
        <w:tblInd w:w="0" w:type="dxa"/>
        <w:tblLayout w:type="fixed"/>
        <w:tblCellMar>
          <w:top w:w="0" w:type="dxa"/>
          <w:left w:w="0" w:type="dxa"/>
          <w:bottom w:w="0" w:type="dxa"/>
          <w:right w:w="0" w:type="dxa"/>
        </w:tblCellMar>
      </w:tblPr>
      <w:tblGrid>
        <w:gridCol w:w="740"/>
        <w:gridCol w:w="255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55" w:type="dxa"/>
            <w:tcBorders/>
            <w:vAlign w:val="center"/>
          </w:tcPr>
          <w:p>
            <w:pPr>
              <w:pStyle w:val="TableContents"/>
              <w:bidi w:val="0"/>
              <w:spacing w:before="0" w:after="0"/>
              <w:jc w:val="left"/>
              <w:rPr>
                <w:b/>
                <w:color w:val="000000"/>
              </w:rPr>
            </w:pPr>
            <w:r>
              <w:rPr>
                <w:b/>
                <w:color w:val="000000"/>
              </w:rPr>
              <w:t>Description of Securities.</w:t>
            </w:r>
          </w:p>
        </w:tc>
      </w:tr>
    </w:tbl>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a9ebe78c21d84304b6807a022fc4d8ce"/>
      <w:bookmarkStart w:id="19" w:name="za9ebe78c21d84304b6807a022fc4d8ce"/>
      <w:bookmarkEnd w:id="19"/>
    </w:p>
    <w:tbl>
      <w:tblPr>
        <w:tblW w:w="4945" w:type="dxa"/>
        <w:jc w:val="left"/>
        <w:tblInd w:w="0" w:type="dxa"/>
        <w:tblLayout w:type="fixed"/>
        <w:tblCellMar>
          <w:top w:w="0" w:type="dxa"/>
          <w:left w:w="0" w:type="dxa"/>
          <w:bottom w:w="0" w:type="dxa"/>
          <w:right w:w="0" w:type="dxa"/>
        </w:tblCellMar>
      </w:tblPr>
      <w:tblGrid>
        <w:gridCol w:w="740"/>
        <w:gridCol w:w="420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4205" w:type="dxa"/>
            <w:tcBorders/>
            <w:vAlign w:val="center"/>
          </w:tcPr>
          <w:p>
            <w:pPr>
              <w:pStyle w:val="TableContents"/>
              <w:bidi w:val="0"/>
              <w:spacing w:before="0" w:after="0"/>
              <w:jc w:val="left"/>
              <w:rPr>
                <w:b/>
                <w:color w:val="000000"/>
              </w:rPr>
            </w:pPr>
            <w:r>
              <w:rPr>
                <w:b/>
                <w:color w:val="000000"/>
              </w:rPr>
              <w:t>Interests of Named Experts and Counsel.</w:t>
            </w:r>
          </w:p>
        </w:tc>
      </w:tr>
    </w:tbl>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fd78aa0940d5455b80fb7261802dba6c"/>
      <w:bookmarkStart w:id="21" w:name="zfd78aa0940d5455b80fb7261802dba6c"/>
      <w:bookmarkEnd w:id="21"/>
    </w:p>
    <w:tbl>
      <w:tblPr>
        <w:tblW w:w="5005" w:type="dxa"/>
        <w:jc w:val="left"/>
        <w:tblInd w:w="0" w:type="dxa"/>
        <w:tblLayout w:type="fixed"/>
        <w:tblCellMar>
          <w:top w:w="0" w:type="dxa"/>
          <w:left w:w="0" w:type="dxa"/>
          <w:bottom w:w="0" w:type="dxa"/>
          <w:right w:w="0" w:type="dxa"/>
        </w:tblCellMar>
      </w:tblPr>
      <w:tblGrid>
        <w:gridCol w:w="740"/>
        <w:gridCol w:w="426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4265" w:type="dxa"/>
            <w:tcBorders/>
            <w:vAlign w:val="center"/>
          </w:tcPr>
          <w:p>
            <w:pPr>
              <w:pStyle w:val="TableContents"/>
              <w:bidi w:val="0"/>
              <w:spacing w:before="0" w:after="0"/>
              <w:jc w:val="left"/>
              <w:rPr>
                <w:b/>
                <w:color w:val="000000"/>
              </w:rPr>
            </w:pPr>
            <w:r>
              <w:rPr>
                <w:b/>
                <w:color w:val="000000"/>
              </w:rPr>
              <w:t>Indemnification of Directors and Officers.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permitted by the Delaware General Corporation Law, the Registrant’s restated certificate of incorporation and amended and restated bylaws contain provisions relating to the limitation of liability and indemnification of directors and officers. The restated certificate of incorporation provides that the Registrant’s directors will not be personally liable to the Registrant or the Registrant’s stockholders for monetary damages for any breach of fiduciary duty as a director, except for liability: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10802ba14132463c98b8eb734a307ad7"/>
      <w:bookmarkStart w:id="23" w:name="z10802ba14132463c98b8eb734a307ad7"/>
      <w:bookmarkEnd w:id="23"/>
    </w:p>
    <w:tbl>
      <w:tblPr>
        <w:tblW w:w="9228" w:type="dxa"/>
        <w:jc w:val="left"/>
        <w:tblInd w:w="0" w:type="dxa"/>
        <w:tblLayout w:type="fixed"/>
        <w:tblCellMar>
          <w:top w:w="0" w:type="dxa"/>
          <w:left w:w="0" w:type="dxa"/>
          <w:bottom w:w="0" w:type="dxa"/>
          <w:right w:w="0" w:type="dxa"/>
        </w:tblCellMar>
      </w:tblPr>
      <w:tblGrid>
        <w:gridCol w:w="38"/>
        <w:gridCol w:w="110"/>
        <w:gridCol w:w="9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080" w:type="dxa"/>
            <w:tcBorders/>
            <w:vAlign w:val="center"/>
          </w:tcPr>
          <w:p>
            <w:pPr>
              <w:pStyle w:val="TableContents"/>
              <w:bidi w:val="0"/>
              <w:spacing w:before="0" w:after="0"/>
              <w:jc w:val="left"/>
              <w:rPr>
                <w:color w:val="000000"/>
              </w:rPr>
            </w:pPr>
            <w:r>
              <w:rPr>
                <w:color w:val="000000"/>
              </w:rPr>
              <w:t>for any breach of the director’s duty of loyalty to the Registrant or the Registrant’s stockholders;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a8c99670b1fb4fc68f92db26c07e3f96"/>
      <w:bookmarkStart w:id="25" w:name="za8c99670b1fb4fc68f92db26c07e3f96"/>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for acts or omissions not in good faith or which involve intentional misconduct or a knowing violation of law;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badaa41613ec4dc8aa3f80ef119e49ee"/>
      <w:bookmarkStart w:id="27" w:name="zbadaa41613ec4dc8aa3f80ef119e49ee"/>
      <w:bookmarkEnd w:id="27"/>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under Section 174 of the Delaware General Corporation Law;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c5d23a9499104152b334fa9b32bb6341"/>
      <w:bookmarkStart w:id="29" w:name="zc5d23a9499104152b334fa9b32bb6341"/>
      <w:bookmarkEnd w:id="29"/>
    </w:p>
    <w:tbl>
      <w:tblPr>
        <w:tblW w:w="7803" w:type="dxa"/>
        <w:jc w:val="left"/>
        <w:tblInd w:w="0" w:type="dxa"/>
        <w:tblLayout w:type="fixed"/>
        <w:tblCellMar>
          <w:top w:w="0" w:type="dxa"/>
          <w:left w:w="0" w:type="dxa"/>
          <w:bottom w:w="0" w:type="dxa"/>
          <w:right w:w="0" w:type="dxa"/>
        </w:tblCellMar>
      </w:tblPr>
      <w:tblGrid>
        <w:gridCol w:w="38"/>
        <w:gridCol w:w="110"/>
        <w:gridCol w:w="7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655" w:type="dxa"/>
            <w:tcBorders/>
            <w:vAlign w:val="center"/>
          </w:tcPr>
          <w:p>
            <w:pPr>
              <w:pStyle w:val="TableContents"/>
              <w:bidi w:val="0"/>
              <w:spacing w:before="0" w:after="0"/>
              <w:jc w:val="left"/>
              <w:rPr>
                <w:color w:val="000000"/>
              </w:rPr>
            </w:pPr>
            <w:r>
              <w:rPr>
                <w:color w:val="000000"/>
              </w:rPr>
              <w:t>for any transaction from which the director derived an improper personal benefit.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Registrant’s restated certificate of incorporation also provides that if the Delaware General Corporation Law is amended to authorize corporate action further eliminating or limiting the personal liability of directors, then the liability of the Registrant’s directors will be eliminated or limited to the fullest extent permitted by the Delaware General Corporation Law as so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Registrant’s amended and restated bylaws provide that the Registrant will indemnify its directors and officers to the fullest extent permitted by Delaware law, as it now exists or may in the future be amended (but, in the case of any amendment, only to the extent such amendment permits broader indemnification rights than such law permitted the Registrant prior to such amendment), against all expenses reasonably incurred in connection with their service for or on the Registrant’s behalf. The Registrant’s amended and restated bylaws provide that it shall advance the expenses incurred by a director or officer in advance of the final disposition of an action or proceeding; provided, however, that if the Delaware General Corporation Law so requires, an advancement of expenses incurred by an indemnitee in his or her capacity as a director or officer (and not in any other capacity in which service was or is rendered by such indemnitee, including without limitation, service to an employee benefit plan) will be made only upon delivery to the Registrant of an undertaking, by or on behalf of such indemnitee, to repay all amounts so advanced if it is ultimately determined that such indemnitee is not entitled to be indemnified by the Registrant under its amended and restated bylaws or otherwise. The Registrant’s amended and restated bylaws permit it to secure insurance on behalf of any director, officer, employee, or agent or individual serving at the request of the Registrant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Registrant would have the power or the obligation to indemnify such person against such liability under the provisions of the Registrant’s amended and restated bylaws.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Registrant has entered into indemnification agreements with each of its directors and with each of its executive officers. Pursuant to the indemnification agreements, the Registrant has agreed to indemnify and hold harmless these directors and officers to the fullest extent permitted by the Delaware General Corporation Law. The agreements generally cover expenses that a director or officer incurs or amounts that a director or officer becomes obligated to pay because of any proceeding to which he or she is made or threatened to be made a party or participant by reason of his or her service as a current or former director, officer, employee or agent of the Registrant. The agreements also provide for the advancement of expenses to the directors and officers subject to specified conditions. There are certain exceptions to the Registrant’s obligation to indemnify the directors and officers, including any intentional malfeasance or act where the director or officer did not in good faith believe he or she was acting in the Registrant’s best interests, with respect to “short-swing” profit claims under Section 16(b) of the Exchange Act and, with certain exceptions, with respect to proceedings that he or she initiates.</w:t>
      </w:r>
    </w:p>
    <w:p>
      <w:pPr>
        <w:pStyle w:val="TextBody"/>
        <w:bidi w:val="0"/>
        <w:spacing w:before="0" w:after="0"/>
        <w:jc w:val="left"/>
        <w:rPr>
          <w:color w:val="000000"/>
        </w:rPr>
      </w:pPr>
      <w:r>
        <w:rPr>
          <w:color w:val="00000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Registrant maintains insurance policies that indemnify its directors and officers against various liabilities arising under the Securities Act and the Exchange Act that might be incurred by any director or officer in his or her capacity as such.</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1c3b4474580c42d1a1ef0ec32ec9656f"/>
      <w:bookmarkStart w:id="31" w:name="z1c3b4474580c42d1a1ef0ec32ec9656f"/>
      <w:bookmarkEnd w:id="31"/>
    </w:p>
    <w:tbl>
      <w:tblPr>
        <w:tblW w:w="4720" w:type="dxa"/>
        <w:jc w:val="left"/>
        <w:tblInd w:w="0" w:type="dxa"/>
        <w:tblLayout w:type="fixed"/>
        <w:tblCellMar>
          <w:top w:w="0" w:type="dxa"/>
          <w:left w:w="0" w:type="dxa"/>
          <w:bottom w:w="0" w:type="dxa"/>
          <w:right w:w="0" w:type="dxa"/>
        </w:tblCellMar>
      </w:tblPr>
      <w:tblGrid>
        <w:gridCol w:w="740"/>
        <w:gridCol w:w="398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980" w:type="dxa"/>
            <w:tcBorders/>
            <w:vAlign w:val="center"/>
          </w:tcPr>
          <w:p>
            <w:pPr>
              <w:pStyle w:val="TableContents"/>
              <w:bidi w:val="0"/>
              <w:spacing w:before="0" w:after="0"/>
              <w:jc w:val="left"/>
              <w:rPr>
                <w:b/>
                <w:color w:val="000000"/>
              </w:rPr>
            </w:pPr>
            <w:r>
              <w:rPr>
                <w:b/>
                <w:color w:val="000000"/>
              </w:rPr>
              <w:t>Exemption from Registration Claimed.</w:t>
            </w:r>
          </w:p>
        </w:tc>
      </w:tr>
    </w:tbl>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0d9ed398954d48fbbfafabffdfbcbce3"/>
      <w:bookmarkStart w:id="33" w:name="z0d9ed398954d48fbbfafabffdfbcbce3"/>
      <w:bookmarkEnd w:id="33"/>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color w:val="000000"/>
              </w:rPr>
            </w:pPr>
            <w:r>
              <w:rPr>
                <w:b/>
                <w:color w:val="000000"/>
              </w:rPr>
              <w:t>Item 8.</w:t>
            </w:r>
          </w:p>
        </w:tc>
        <w:tc>
          <w:tcPr>
            <w:tcW w:w="93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a9788c7eeaf847ba8f143b6f4da2447b"/>
      <w:bookmarkStart w:id="35" w:name="za9788c7eeaf847ba8f143b6f4da2447b"/>
      <w:bookmarkEnd w:id="35"/>
    </w:p>
    <w:tbl>
      <w:tblPr>
        <w:tblW w:w="10205" w:type="dxa"/>
        <w:jc w:val="left"/>
        <w:tblInd w:w="0" w:type="dxa"/>
        <w:tblLayout w:type="fixed"/>
        <w:tblCellMar>
          <w:top w:w="0" w:type="dxa"/>
          <w:left w:w="0" w:type="dxa"/>
          <w:bottom w:w="0" w:type="dxa"/>
          <w:right w:w="0" w:type="dxa"/>
        </w:tblCellMar>
      </w:tblPr>
      <w:tblGrid>
        <w:gridCol w:w="869"/>
        <w:gridCol w:w="9336"/>
      </w:tblGrid>
      <w:tr>
        <w:trPr/>
        <w:tc>
          <w:tcPr>
            <w:tcW w:w="869" w:type="dxa"/>
            <w:tcBorders/>
            <w:vAlign w:val="center"/>
          </w:tcPr>
          <w:p>
            <w:pPr>
              <w:pStyle w:val="TableContents"/>
              <w:bidi w:val="0"/>
              <w:spacing w:before="0" w:after="0"/>
              <w:jc w:val="left"/>
              <w:rPr>
                <w:color w:val="000000"/>
                <w:u w:val="single"/>
              </w:rPr>
            </w:pPr>
            <w:r>
              <w:rPr>
                <w:color w:val="000000"/>
                <w:u w:val="single"/>
              </w:rPr>
              <w:t>Exhibit No.</w:t>
            </w:r>
          </w:p>
        </w:tc>
        <w:tc>
          <w:tcPr>
            <w:tcW w:w="9336" w:type="dxa"/>
            <w:tcBorders/>
            <w:vAlign w:val="center"/>
          </w:tcPr>
          <w:p>
            <w:pPr>
              <w:pStyle w:val="TableContents"/>
              <w:bidi w:val="0"/>
              <w:spacing w:before="0" w:after="0"/>
              <w:jc w:val="left"/>
              <w:rPr>
                <w:color w:val="000000"/>
                <w:u w:val="single"/>
              </w:rPr>
            </w:pPr>
            <w:r>
              <w:rPr>
                <w:color w:val="000000"/>
                <w:u w:val="single"/>
              </w:rPr>
              <w:t>Exhibit Description</w:t>
            </w:r>
          </w:p>
        </w:tc>
      </w:tr>
      <w:tr>
        <w:trPr/>
        <w:tc>
          <w:tcPr>
            <w:tcW w:w="869" w:type="dxa"/>
            <w:tcBorders/>
            <w:shd w:fill="CCEEFF" w:val="clear"/>
            <w:vAlign w:val="center"/>
          </w:tcPr>
          <w:p>
            <w:pPr>
              <w:pStyle w:val="TableContents"/>
              <w:bidi w:val="0"/>
              <w:spacing w:before="0" w:after="0"/>
              <w:jc w:val="left"/>
              <w:rPr>
                <w:color w:val="000000"/>
              </w:rPr>
            </w:pPr>
            <w:r>
              <w:rPr>
                <w:color w:val="000000"/>
              </w:rPr>
              <w:t>4.1</w:t>
            </w:r>
          </w:p>
        </w:tc>
        <w:tc>
          <w:tcPr>
            <w:tcW w:w="9336" w:type="dxa"/>
            <w:tcBorders/>
            <w:shd w:fill="CCEEFF" w:val="clear"/>
            <w:vAlign w:val="center"/>
          </w:tcPr>
          <w:p>
            <w:pPr>
              <w:pStyle w:val="TableContents"/>
              <w:bidi w:val="0"/>
              <w:spacing w:before="0" w:after="0"/>
              <w:jc w:val="left"/>
              <w:rPr/>
            </w:pPr>
            <w:hyperlink r:id="rId11">
              <w:r>
                <w:rPr>
                  <w:rStyle w:val="InternetLink"/>
                </w:rPr>
                <w:t>Restated Certificate of Incorporation of the Registrant (incorporated by reference to Exhibit 3.1 to the Registrant's Quarterly Report on Form 10-Q filed on November 13, 2024).</w:t>
              </w:r>
            </w:hyperlink>
          </w:p>
        </w:tc>
      </w:tr>
      <w:tr>
        <w:trPr/>
        <w:tc>
          <w:tcPr>
            <w:tcW w:w="869" w:type="dxa"/>
            <w:tcBorders/>
            <w:vAlign w:val="center"/>
          </w:tcPr>
          <w:p>
            <w:pPr>
              <w:pStyle w:val="TableContents"/>
              <w:bidi w:val="0"/>
              <w:spacing w:before="0" w:after="0"/>
              <w:jc w:val="left"/>
              <w:rPr>
                <w:color w:val="000000"/>
              </w:rPr>
            </w:pPr>
            <w:r>
              <w:rPr>
                <w:color w:val="000000"/>
              </w:rPr>
              <w:t>4.2</w:t>
            </w:r>
          </w:p>
        </w:tc>
        <w:tc>
          <w:tcPr>
            <w:tcW w:w="9336" w:type="dxa"/>
            <w:tcBorders/>
            <w:vAlign w:val="center"/>
          </w:tcPr>
          <w:p>
            <w:pPr>
              <w:pStyle w:val="TableContents"/>
              <w:bidi w:val="0"/>
              <w:spacing w:before="0" w:after="0"/>
              <w:jc w:val="left"/>
              <w:rPr/>
            </w:pPr>
            <w:hyperlink r:id="rId12">
              <w:r>
                <w:rPr>
                  <w:rStyle w:val="InternetLink"/>
                  <w:color w:val="0000EE"/>
                </w:rPr>
                <w:t>Certificate of Designation of Preferences, Rights and Limitations of Series X Convertible Preferred Stock (incorporated by reference to Exhibit 3.1 to the Registrant’s Current Report on Form 8-K filed on December 27, 2022).</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4.3</w:t>
            </w:r>
          </w:p>
        </w:tc>
        <w:tc>
          <w:tcPr>
            <w:tcW w:w="9336" w:type="dxa"/>
            <w:tcBorders/>
            <w:shd w:fill="CCEEFF" w:val="clear"/>
            <w:vAlign w:val="center"/>
          </w:tcPr>
          <w:p>
            <w:pPr>
              <w:pStyle w:val="TableContents"/>
              <w:bidi w:val="0"/>
              <w:spacing w:before="0" w:after="0"/>
              <w:jc w:val="left"/>
              <w:rPr/>
            </w:pPr>
            <w:hyperlink r:id="rId13">
              <w:r>
                <w:rPr>
                  <w:rStyle w:val="InternetLink"/>
                  <w:color w:val="0000EE"/>
                </w:rPr>
                <w:t>Amendment to Certificate of Designation of Preferences, Rights and Limitations of Series X Convertible Preferred Stock (incorporated by reference to Exhibit 3.2 to the Registrant’s Current Report on Form 8-K filed on October 30, 2023).</w:t>
              </w:r>
            </w:hyperlink>
          </w:p>
        </w:tc>
      </w:tr>
      <w:tr>
        <w:trPr/>
        <w:tc>
          <w:tcPr>
            <w:tcW w:w="869" w:type="dxa"/>
            <w:tcBorders/>
            <w:vAlign w:val="center"/>
          </w:tcPr>
          <w:p>
            <w:pPr>
              <w:pStyle w:val="TableContents"/>
              <w:bidi w:val="0"/>
              <w:spacing w:before="0" w:after="0"/>
              <w:jc w:val="left"/>
              <w:rPr>
                <w:color w:val="000000"/>
              </w:rPr>
            </w:pPr>
            <w:r>
              <w:rPr>
                <w:color w:val="000000"/>
              </w:rPr>
              <w:t>4.4</w:t>
            </w:r>
          </w:p>
        </w:tc>
        <w:tc>
          <w:tcPr>
            <w:tcW w:w="9336" w:type="dxa"/>
            <w:tcBorders/>
            <w:vAlign w:val="center"/>
          </w:tcPr>
          <w:p>
            <w:pPr>
              <w:pStyle w:val="TableContents"/>
              <w:bidi w:val="0"/>
              <w:spacing w:before="0" w:after="0"/>
              <w:jc w:val="left"/>
              <w:rPr/>
            </w:pPr>
            <w:hyperlink r:id="rId14">
              <w:r>
                <w:rPr>
                  <w:rStyle w:val="InternetLink"/>
                  <w:color w:val="0000EE"/>
                </w:rPr>
                <w:t>Certificate of Designation of Preferences, Rights and Limitations of Series Y Preferred Stock (incorporated by reference to Exhibit 3.1 to the Registrant’s Current Report on Form 8-K filed on June 20, 2023).</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4.5</w:t>
            </w:r>
          </w:p>
        </w:tc>
        <w:tc>
          <w:tcPr>
            <w:tcW w:w="9336" w:type="dxa"/>
            <w:tcBorders/>
            <w:shd w:fill="CCEEFF" w:val="clear"/>
            <w:vAlign w:val="center"/>
          </w:tcPr>
          <w:p>
            <w:pPr>
              <w:pStyle w:val="TableContents"/>
              <w:bidi w:val="0"/>
              <w:spacing w:before="0" w:after="0"/>
              <w:jc w:val="left"/>
              <w:rPr/>
            </w:pPr>
            <w:hyperlink r:id="rId15">
              <w:r>
                <w:rPr>
                  <w:rStyle w:val="InternetLink"/>
                  <w:color w:val="0000EE"/>
                </w:rPr>
                <w:t>Certificate of Elimination of Series Y Preferred Stock (incorporated by reference to Exhibit 3.1 to the Registrant’s Current Report on Form 8-K filed on August 31, 2023).</w:t>
              </w:r>
            </w:hyperlink>
          </w:p>
        </w:tc>
      </w:tr>
      <w:tr>
        <w:trPr/>
        <w:tc>
          <w:tcPr>
            <w:tcW w:w="869" w:type="dxa"/>
            <w:tcBorders/>
            <w:vAlign w:val="center"/>
          </w:tcPr>
          <w:p>
            <w:pPr>
              <w:pStyle w:val="TableContents"/>
              <w:bidi w:val="0"/>
              <w:spacing w:before="0" w:after="0"/>
              <w:jc w:val="left"/>
              <w:rPr>
                <w:color w:val="000000"/>
              </w:rPr>
            </w:pPr>
            <w:r>
              <w:rPr>
                <w:color w:val="000000"/>
              </w:rPr>
              <w:t>4.6</w:t>
            </w:r>
          </w:p>
        </w:tc>
        <w:tc>
          <w:tcPr>
            <w:tcW w:w="9336" w:type="dxa"/>
            <w:tcBorders/>
            <w:vAlign w:val="center"/>
          </w:tcPr>
          <w:p>
            <w:pPr>
              <w:pStyle w:val="TableContents"/>
              <w:bidi w:val="0"/>
              <w:spacing w:before="0" w:after="0"/>
              <w:jc w:val="left"/>
              <w:rPr/>
            </w:pPr>
            <w:hyperlink r:id="rId16">
              <w:r>
                <w:rPr>
                  <w:rStyle w:val="InternetLink"/>
                  <w:color w:val="0000EE"/>
                </w:rPr>
                <w:t>Certificate of Designation of Preferences, Rights and Limitations of Series A Convertible Preferred Stock (incorporated by reference to Exhibit 3.1 to the Registrant’s Current Report on Form 8-K filed on April 13, 2017).</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4.7</w:t>
            </w:r>
          </w:p>
        </w:tc>
        <w:tc>
          <w:tcPr>
            <w:tcW w:w="9336" w:type="dxa"/>
            <w:tcBorders/>
            <w:shd w:fill="CCEEFF" w:val="clear"/>
            <w:vAlign w:val="center"/>
          </w:tcPr>
          <w:p>
            <w:pPr>
              <w:pStyle w:val="TableContents"/>
              <w:bidi w:val="0"/>
              <w:spacing w:before="0" w:after="0"/>
              <w:jc w:val="left"/>
              <w:rPr/>
            </w:pPr>
            <w:hyperlink r:id="rId17">
              <w:r>
                <w:rPr>
                  <w:rStyle w:val="InternetLink"/>
                  <w:color w:val="0000EE"/>
                </w:rPr>
                <w:t>Certificate of Elimination of Series A Preferred Stock (incorporated by reference to Exhibit 3.6(b) to the Registrant’s Annual Report on Form 10-K filed on March 27, 2024).</w:t>
              </w:r>
            </w:hyperlink>
          </w:p>
        </w:tc>
      </w:tr>
      <w:tr>
        <w:trPr/>
        <w:tc>
          <w:tcPr>
            <w:tcW w:w="869" w:type="dxa"/>
            <w:tcBorders/>
            <w:vAlign w:val="center"/>
          </w:tcPr>
          <w:p>
            <w:pPr>
              <w:pStyle w:val="TableContents"/>
              <w:bidi w:val="0"/>
              <w:spacing w:before="0" w:after="0"/>
              <w:jc w:val="left"/>
              <w:rPr>
                <w:color w:val="000000"/>
              </w:rPr>
            </w:pPr>
            <w:r>
              <w:rPr>
                <w:color w:val="000000"/>
              </w:rPr>
              <w:t>4.8*</w:t>
            </w:r>
          </w:p>
        </w:tc>
        <w:tc>
          <w:tcPr>
            <w:tcW w:w="9336" w:type="dxa"/>
            <w:tcBorders/>
            <w:vAlign w:val="center"/>
          </w:tcPr>
          <w:p>
            <w:pPr>
              <w:pStyle w:val="TableContents"/>
              <w:bidi w:val="0"/>
              <w:spacing w:before="0" w:after="0"/>
              <w:jc w:val="left"/>
              <w:rPr/>
            </w:pPr>
            <w:hyperlink w:anchor="ef20075357_ex4-8.htm">
              <w:r>
                <w:rPr>
                  <w:rStyle w:val="InternetLink"/>
                </w:rPr>
                <w:t>Certificate of Designation of Preferences, Rights and Limitations of Series B Convertible Preferred Stock</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4.9</w:t>
            </w:r>
          </w:p>
        </w:tc>
        <w:tc>
          <w:tcPr>
            <w:tcW w:w="9336" w:type="dxa"/>
            <w:tcBorders/>
            <w:shd w:fill="CCEEFF" w:val="clear"/>
            <w:vAlign w:val="center"/>
          </w:tcPr>
          <w:p>
            <w:pPr>
              <w:pStyle w:val="TableContents"/>
              <w:bidi w:val="0"/>
              <w:spacing w:before="0" w:after="0"/>
              <w:jc w:val="left"/>
              <w:rPr/>
            </w:pPr>
            <w:hyperlink r:id="rId18">
              <w:r>
                <w:rPr>
                  <w:rStyle w:val="InternetLink"/>
                  <w:color w:val="0000EE"/>
                </w:rPr>
                <w:t>Amended and Restated Bylaws of the Registrant (incorporated by reference to Exhibit 3.3 to the Registrant’s Current Report on Form 8-K filed on October 30, 2023).</w:t>
              </w:r>
            </w:hyperlink>
          </w:p>
        </w:tc>
      </w:tr>
      <w:tr>
        <w:trPr/>
        <w:tc>
          <w:tcPr>
            <w:tcW w:w="869" w:type="dxa"/>
            <w:tcBorders/>
            <w:vAlign w:val="center"/>
          </w:tcPr>
          <w:p>
            <w:pPr>
              <w:pStyle w:val="TableContents"/>
              <w:bidi w:val="0"/>
              <w:spacing w:before="0" w:after="0"/>
              <w:jc w:val="left"/>
              <w:rPr>
                <w:color w:val="000000"/>
              </w:rPr>
            </w:pPr>
            <w:r>
              <w:rPr>
                <w:color w:val="000000"/>
              </w:rPr>
              <w:t>5.1*</w:t>
            </w:r>
          </w:p>
        </w:tc>
        <w:tc>
          <w:tcPr>
            <w:tcW w:w="9336" w:type="dxa"/>
            <w:tcBorders/>
            <w:vAlign w:val="center"/>
          </w:tcPr>
          <w:p>
            <w:pPr>
              <w:pStyle w:val="TableContents"/>
              <w:bidi w:val="0"/>
              <w:spacing w:before="0" w:after="0"/>
              <w:jc w:val="left"/>
              <w:rPr/>
            </w:pPr>
            <w:hyperlink w:anchor="ef20075357_ex5-1.htm">
              <w:r>
                <w:rPr>
                  <w:rStyle w:val="InternetLink"/>
                </w:rPr>
                <w:t>Opinion of Gibson, Dunn &amp; Crutcher LLP.</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23.1*</w:t>
            </w:r>
          </w:p>
        </w:tc>
        <w:tc>
          <w:tcPr>
            <w:tcW w:w="9336" w:type="dxa"/>
            <w:tcBorders/>
            <w:shd w:fill="CCEEFF" w:val="clear"/>
            <w:vAlign w:val="center"/>
          </w:tcPr>
          <w:p>
            <w:pPr>
              <w:pStyle w:val="TableContents"/>
              <w:bidi w:val="0"/>
              <w:spacing w:before="0" w:after="0"/>
              <w:jc w:val="left"/>
              <w:rPr/>
            </w:pPr>
            <w:hyperlink w:anchor="ef20075357_ex23-1.htm">
              <w:r>
                <w:rPr>
                  <w:rStyle w:val="InternetLink"/>
                </w:rPr>
                <w:t>Consent of Grant Thornton Zhitong Certified Public Accountants LLP.</w:t>
              </w:r>
            </w:hyperlink>
          </w:p>
        </w:tc>
      </w:tr>
      <w:tr>
        <w:trPr/>
        <w:tc>
          <w:tcPr>
            <w:tcW w:w="869" w:type="dxa"/>
            <w:tcBorders/>
            <w:vAlign w:val="center"/>
          </w:tcPr>
          <w:p>
            <w:pPr>
              <w:pStyle w:val="TableContents"/>
              <w:bidi w:val="0"/>
              <w:spacing w:before="0" w:after="0"/>
              <w:jc w:val="left"/>
              <w:rPr>
                <w:color w:val="000000"/>
              </w:rPr>
            </w:pPr>
            <w:r>
              <w:rPr>
                <w:color w:val="000000"/>
              </w:rPr>
              <w:t>23.2*</w:t>
            </w:r>
          </w:p>
        </w:tc>
        <w:tc>
          <w:tcPr>
            <w:tcW w:w="9336" w:type="dxa"/>
            <w:tcBorders/>
            <w:vAlign w:val="center"/>
          </w:tcPr>
          <w:p>
            <w:pPr>
              <w:pStyle w:val="TableContents"/>
              <w:bidi w:val="0"/>
              <w:spacing w:before="0" w:after="0"/>
              <w:jc w:val="left"/>
              <w:rPr/>
            </w:pPr>
            <w:hyperlink w:anchor="ef20075357_ex5-1.htm">
              <w:r>
                <w:rPr>
                  <w:rStyle w:val="InternetLink"/>
                </w:rPr>
                <w:t>Consent of Gibson, Dunn &amp; Crutcher LLP (included in Exhibit 5.1).</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24.1*</w:t>
            </w:r>
          </w:p>
        </w:tc>
        <w:tc>
          <w:tcPr>
            <w:tcW w:w="9336" w:type="dxa"/>
            <w:tcBorders/>
            <w:shd w:fill="CCEEFF" w:val="clear"/>
            <w:vAlign w:val="center"/>
          </w:tcPr>
          <w:p>
            <w:pPr>
              <w:pStyle w:val="TableContents"/>
              <w:bidi w:val="0"/>
              <w:spacing w:before="0" w:after="0"/>
              <w:jc w:val="both"/>
              <w:rPr/>
            </w:pPr>
            <w:hyperlink w:anchor="POWEROFATTORNEY">
              <w:r>
                <w:rPr>
                  <w:rStyle w:val="InternetLink"/>
                </w:rPr>
                <w:t>Power of Attorney (included on the signature page hereto).</w:t>
              </w:r>
            </w:hyperlink>
          </w:p>
        </w:tc>
      </w:tr>
      <w:tr>
        <w:trPr/>
        <w:tc>
          <w:tcPr>
            <w:tcW w:w="869" w:type="dxa"/>
            <w:tcBorders/>
            <w:vAlign w:val="center"/>
          </w:tcPr>
          <w:p>
            <w:pPr>
              <w:pStyle w:val="TableContents"/>
              <w:bidi w:val="0"/>
              <w:spacing w:before="0" w:after="0"/>
              <w:jc w:val="left"/>
              <w:rPr>
                <w:color w:val="000000"/>
              </w:rPr>
            </w:pPr>
            <w:r>
              <w:rPr>
                <w:color w:val="000000"/>
              </w:rPr>
              <w:t>99.1</w:t>
            </w:r>
          </w:p>
        </w:tc>
        <w:tc>
          <w:tcPr>
            <w:tcW w:w="9336" w:type="dxa"/>
            <w:tcBorders/>
            <w:vAlign w:val="center"/>
          </w:tcPr>
          <w:p>
            <w:pPr>
              <w:pStyle w:val="TableContents"/>
              <w:bidi w:val="0"/>
              <w:spacing w:before="0" w:after="0"/>
              <w:jc w:val="both"/>
              <w:rPr/>
            </w:pPr>
            <w:hyperlink r:id="rId19">
              <w:r>
                <w:rPr>
                  <w:rStyle w:val="InternetLink"/>
                </w:rPr>
                <w:t>Cullgen Inc. 2018 Stock Incentive Plan (as amended and restated May 4, 2026) (incorporated by reference to Exhibit 10.5 to the Registrant’s Current Report on Form 8-K filed on May 4, 2026).</w:t>
              </w:r>
            </w:hyperlink>
          </w:p>
        </w:tc>
      </w:tr>
      <w:tr>
        <w:trPr/>
        <w:tc>
          <w:tcPr>
            <w:tcW w:w="869" w:type="dxa"/>
            <w:tcBorders/>
            <w:shd w:fill="CCEEFF" w:val="clear"/>
            <w:vAlign w:val="center"/>
          </w:tcPr>
          <w:p>
            <w:pPr>
              <w:pStyle w:val="TableContents"/>
              <w:bidi w:val="0"/>
              <w:spacing w:before="0" w:after="0"/>
              <w:jc w:val="left"/>
              <w:rPr>
                <w:color w:val="000000"/>
              </w:rPr>
            </w:pPr>
            <w:r>
              <w:rPr>
                <w:color w:val="000000"/>
              </w:rPr>
              <w:t>107.1*</w:t>
            </w:r>
          </w:p>
        </w:tc>
        <w:tc>
          <w:tcPr>
            <w:tcW w:w="9336" w:type="dxa"/>
            <w:tcBorders/>
            <w:shd w:fill="CCEEFF" w:val="clear"/>
            <w:vAlign w:val="center"/>
          </w:tcPr>
          <w:p>
            <w:pPr>
              <w:pStyle w:val="TableContents"/>
              <w:bidi w:val="0"/>
              <w:spacing w:before="0" w:after="0"/>
              <w:jc w:val="both"/>
              <w:rPr/>
            </w:pPr>
            <w:hyperlink w:anchor="ef20075357_ex107-1.htm">
              <w:r>
                <w:rPr>
                  <w:rStyle w:val="InternetLink"/>
                </w:rPr>
                <w:t>Filing Fee Table.</w:t>
              </w:r>
            </w:hyperlink>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36" w:name="za2e6893a667047468739da9ff51f97fc"/>
      <w:bookmarkStart w:id="37" w:name="za2e6893a667047468739da9ff51f97fc"/>
      <w:bookmarkEnd w:id="37"/>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283"/>
              <w:jc w:val="left"/>
              <w:rPr>
                <w:b/>
                <w:color w:val="000000"/>
              </w:rPr>
            </w:pPr>
            <w:r>
              <w:rPr>
                <w:b/>
                <w:color w:val="000000"/>
              </w:rPr>
              <w:t>Item 9.</w:t>
            </w:r>
          </w:p>
        </w:tc>
        <w:tc>
          <w:tcPr>
            <w:tcW w:w="1490" w:type="dxa"/>
            <w:tcBorders/>
            <w:vAlign w:val="center"/>
          </w:tcPr>
          <w:p>
            <w:pPr>
              <w:pStyle w:val="TableContents"/>
              <w:bidi w:val="0"/>
              <w:spacing w:before="0" w:after="0"/>
              <w:jc w:val="left"/>
              <w:rPr>
                <w:b/>
                <w:color w:val="000000"/>
              </w:rPr>
            </w:pPr>
            <w:r>
              <w:rPr>
                <w:b/>
                <w:color w:val="000000"/>
              </w:rPr>
              <w:t>Undertakings.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7cb91ba8e2fe4f5c845f8a24fcc5999e"/>
      <w:bookmarkStart w:id="39" w:name="z7cb91ba8e2fe4f5c845f8a24fcc5999e"/>
      <w:bookmarkEnd w:id="39"/>
    </w:p>
    <w:tbl>
      <w:tblPr>
        <w:tblW w:w="4780" w:type="dxa"/>
        <w:jc w:val="left"/>
        <w:tblInd w:w="0" w:type="dxa"/>
        <w:tblLayout w:type="fixed"/>
        <w:tblCellMar>
          <w:top w:w="0" w:type="dxa"/>
          <w:left w:w="0" w:type="dxa"/>
          <w:bottom w:w="0" w:type="dxa"/>
          <w:right w:w="0" w:type="dxa"/>
        </w:tblCellMar>
      </w:tblPr>
      <w:tblGrid>
        <w:gridCol w:w="290"/>
        <w:gridCol w:w="4490"/>
      </w:tblGrid>
      <w:tr>
        <w:trPr/>
        <w:tc>
          <w:tcPr>
            <w:tcW w:w="290" w:type="dxa"/>
            <w:tcBorders/>
            <w:vAlign w:val="center"/>
          </w:tcPr>
          <w:p>
            <w:pPr>
              <w:pStyle w:val="TableContents"/>
              <w:bidi w:val="0"/>
              <w:spacing w:before="0" w:after="283"/>
              <w:jc w:val="left"/>
              <w:rPr/>
            </w:pPr>
            <w:r>
              <w:rPr/>
              <w:t>(a)</w:t>
            </w:r>
          </w:p>
        </w:tc>
        <w:tc>
          <w:tcPr>
            <w:tcW w:w="4490" w:type="dxa"/>
            <w:tcBorders/>
            <w:vAlign w:val="center"/>
          </w:tcPr>
          <w:p>
            <w:pPr>
              <w:pStyle w:val="TableContents"/>
              <w:bidi w:val="0"/>
              <w:spacing w:before="0" w:after="0"/>
              <w:jc w:val="left"/>
              <w:rPr/>
            </w:pPr>
            <w:r>
              <w:rPr/>
              <w:t>The undersigned Registrant hereby undertakes: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bd800f6611c4409d888dde7be5c8d87a"/>
      <w:bookmarkStart w:id="41" w:name="zbd800f6611c4409d888dde7be5c8d87a"/>
      <w:bookmarkEnd w:id="41"/>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pPr>
            <w:r>
              <w:rPr/>
              <w:t>To file, during any period in which offers or sales are being made, a post-effective amendment to this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0da0a9bb3e5042479354dd6a5e364c7a"/>
      <w:bookmarkStart w:id="43" w:name="z0da0a9bb3e5042479354dd6a5e364c7a"/>
      <w:bookmarkEnd w:id="43"/>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(i)</w:t>
            </w:r>
          </w:p>
        </w:tc>
        <w:tc>
          <w:tcPr>
            <w:tcW w:w="7295" w:type="dxa"/>
            <w:tcBorders/>
            <w:vAlign w:val="center"/>
          </w:tcPr>
          <w:p>
            <w:pPr>
              <w:pStyle w:val="TableContents"/>
              <w:bidi w:val="0"/>
              <w:spacing w:before="0" w:after="0"/>
              <w:jc w:val="left"/>
              <w:rPr/>
            </w:pPr>
            <w:r>
              <w:rPr/>
              <w:t>To include any prospectus required by Section 10(a)(3) of the Securities Act;</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4c55527f40fd4b2890d802c8eddee2b8"/>
      <w:bookmarkStart w:id="45" w:name="z4c55527f40fd4b2890d802c8eddee2b8"/>
      <w:bookmarkEnd w:id="45"/>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0"/>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efa5f690339e4512b340914c891224d6"/>
      <w:bookmarkStart w:id="47" w:name="zefa5f690339e4512b340914c891224d6"/>
      <w:bookmarkEnd w:id="47"/>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pPr>
            <w:r>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0"/>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65d14a541ac24e71adc7cc5581e2bb33"/>
      <w:bookmarkStart w:id="49" w:name="z65d14a541ac24e71adc7cc5581e2bb33"/>
      <w:bookmarkEnd w:id="49"/>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154fca4139b34b6db054f6b5f4d58002"/>
      <w:bookmarkStart w:id="51" w:name="z154fca4139b34b6db054f6b5f4d58002"/>
      <w:bookmarkEnd w:id="51"/>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0"/>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2cc56f584504411db5d2481386a8fe7a"/>
      <w:bookmarkStart w:id="53" w:name="z2cc56f584504411db5d2481386a8fe7a"/>
      <w:bookmarkEnd w:id="53"/>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(b)</w:t>
            </w:r>
          </w:p>
        </w:tc>
        <w:tc>
          <w:tcPr>
            <w:tcW w:w="9964" w:type="dxa"/>
            <w:tcBorders/>
            <w:vAlign w:val="center"/>
          </w:tcPr>
          <w:p>
            <w:pPr>
              <w:pStyle w:val="TableContents"/>
              <w:bidi w:val="0"/>
              <w:spacing w:before="0" w:after="0"/>
              <w:jc w:val="left"/>
              <w:rPr/>
            </w:pPr>
            <w:r>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e7809765cc944cdf91d60cc8518ca261"/>
      <w:bookmarkStart w:id="55" w:name="ze7809765cc944cdf91d60cc8518ca261"/>
      <w:bookmarkEnd w:id="55"/>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Pr>
            <w:r>
              <w:rPr/>
              <w:t>(c)</w:t>
            </w:r>
          </w:p>
        </w:tc>
        <w:tc>
          <w:tcPr>
            <w:tcW w:w="9984" w:type="dxa"/>
            <w:tcBorders/>
            <w:vAlign w:val="center"/>
          </w:tcPr>
          <w:p>
            <w:pPr>
              <w:pStyle w:val="TableContents"/>
              <w:bidi w:val="0"/>
              <w:spacing w:before="0" w:after="0"/>
              <w:jc w:val="left"/>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w:t>
      </w:r>
      <w:bookmarkStart w:id="56" w:name="Signature"/>
      <w:bookmarkEnd w:id="56"/>
      <w:r>
        <w:rPr>
          <w:rFonts w:ascii="Times New Roman" w:hAnsi="Times New Roman"/>
          <w:b/>
          <w:color w:val="000000"/>
          <w:sz w:val="20"/>
        </w:rPr>
        <w:t>TURES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9,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157689e46d8044878cd8a063ddf0ed6d"/>
      <w:bookmarkStart w:id="58" w:name="z157689e46d8044878cd8a063ddf0ed6d"/>
      <w:bookmarkEnd w:id="58"/>
    </w:p>
    <w:tbl>
      <w:tblPr>
        <w:tblW w:w="4293" w:type="dxa"/>
        <w:jc w:val="left"/>
        <w:tblInd w:w="0" w:type="dxa"/>
        <w:tblLayout w:type="fixed"/>
        <w:tblCellMar>
          <w:top w:w="0" w:type="dxa"/>
          <w:left w:w="0" w:type="dxa"/>
          <w:bottom w:w="0" w:type="dxa"/>
          <w:right w:w="0" w:type="dxa"/>
        </w:tblCellMar>
      </w:tblPr>
      <w:tblGrid>
        <w:gridCol w:w="23"/>
        <w:gridCol w:w="650"/>
        <w:gridCol w:w="3620"/>
      </w:tblGrid>
      <w:tr>
        <w:trPr/>
        <w:tc>
          <w:tcPr>
            <w:tcW w:w="23" w:type="dxa"/>
            <w:tcBorders/>
            <w:vAlign w:val="center"/>
          </w:tcPr>
          <w:p>
            <w:pPr>
              <w:pStyle w:val="TableContents"/>
              <w:bidi w:val="0"/>
              <w:spacing w:before="0" w:after="283"/>
              <w:jc w:val="left"/>
              <w:rPr/>
            </w:pPr>
            <w:r>
              <w:rPr/>
            </w:r>
          </w:p>
        </w:tc>
        <w:tc>
          <w:tcPr>
            <w:tcW w:w="4270" w:type="dxa"/>
            <w:gridSpan w:val="2"/>
            <w:tcBorders/>
            <w:vAlign w:val="center"/>
          </w:tcPr>
          <w:p>
            <w:pPr>
              <w:pStyle w:val="TableContents"/>
              <w:bidi w:val="0"/>
              <w:spacing w:before="0" w:after="0"/>
              <w:jc w:val="left"/>
              <w:rPr>
                <w:color w:val="000000"/>
              </w:rPr>
            </w:pPr>
            <w:r>
              <w:rPr>
                <w:color w:val="000000"/>
              </w:rPr>
              <w:t>Gyre Therapeutics, Inc.</w:t>
            </w:r>
          </w:p>
        </w:tc>
      </w:tr>
      <w:tr>
        <w:trPr/>
        <w:tc>
          <w:tcPr>
            <w:tcW w:w="23" w:type="dxa"/>
            <w:tcBorders/>
            <w:vAlign w:val="center"/>
          </w:tcPr>
          <w:p>
            <w:pPr>
              <w:pStyle w:val="TableContents"/>
              <w:bidi w:val="0"/>
              <w:spacing w:before="0" w:after="283"/>
              <w:jc w:val="left"/>
              <w:rPr/>
            </w:pPr>
            <w:r>
              <w:rPr/>
            </w:r>
          </w:p>
        </w:tc>
        <w:tc>
          <w:tcPr>
            <w:tcW w:w="427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color w:val="000000"/>
              </w:rPr>
            </w:pPr>
            <w:r>
              <w:rPr>
                <w:color w:val="000000"/>
              </w:rPr>
              <w:t>By:</w:t>
            </w:r>
          </w:p>
        </w:tc>
        <w:tc>
          <w:tcPr>
            <w:tcW w:w="362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Ying Luo, Ph.D.</w:t>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color w:val="000000"/>
              </w:rPr>
            </w:pPr>
            <w:r>
              <w:rPr>
                <w:color w:val="000000"/>
              </w:rPr>
              <w:t>Name:</w:t>
            </w:r>
          </w:p>
        </w:tc>
        <w:tc>
          <w:tcPr>
            <w:tcW w:w="3620" w:type="dxa"/>
            <w:tcBorders/>
            <w:vAlign w:val="center"/>
          </w:tcPr>
          <w:p>
            <w:pPr>
              <w:pStyle w:val="TableContents"/>
              <w:bidi w:val="0"/>
              <w:spacing w:before="0" w:after="0"/>
              <w:jc w:val="left"/>
              <w:rPr>
                <w:color w:val="000000"/>
              </w:rPr>
            </w:pPr>
            <w:r>
              <w:rPr>
                <w:color w:val="000000"/>
              </w:rPr>
              <w:t>Ying Luo, Ph.D.</w:t>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color w:val="000000"/>
              </w:rPr>
            </w:pPr>
            <w:r>
              <w:rPr>
                <w:color w:val="000000"/>
              </w:rPr>
              <w:t>Title:</w:t>
            </w:r>
          </w:p>
        </w:tc>
        <w:tc>
          <w:tcPr>
            <w:tcW w:w="3620"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bookmarkStart w:id="59" w:name="POWEROFATTORNEY"/>
      <w:bookmarkEnd w:id="59"/>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Ying Luo and Thomas Eastling, or either of them, severally, the individual’s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indicated on June 9,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4118049416e64d04abc10841e6757267"/>
      <w:bookmarkStart w:id="61" w:name="z4118049416e64d04abc10841e6757267"/>
      <w:bookmarkEnd w:id="61"/>
    </w:p>
    <w:tbl>
      <w:tblPr>
        <w:tblW w:w="7706" w:type="dxa"/>
        <w:jc w:val="left"/>
        <w:tblInd w:w="0" w:type="dxa"/>
        <w:tblLayout w:type="fixed"/>
        <w:tblCellMar>
          <w:top w:w="0" w:type="dxa"/>
          <w:left w:w="0" w:type="dxa"/>
          <w:bottom w:w="28" w:type="dxa"/>
          <w:right w:w="0" w:type="dxa"/>
        </w:tblCellMar>
      </w:tblPr>
      <w:tblGrid>
        <w:gridCol w:w="3140"/>
        <w:gridCol w:w="23"/>
        <w:gridCol w:w="23"/>
        <w:gridCol w:w="4520"/>
      </w:tblGrid>
      <w:tr>
        <w:trPr/>
        <w:tc>
          <w:tcPr>
            <w:tcW w:w="3140" w:type="dxa"/>
            <w:tcBorders>
              <w:bottom w:val="single" w:sz="12" w:space="0" w:color="000000"/>
            </w:tcBorders>
            <w:vAlign w:val="center"/>
          </w:tcPr>
          <w:p>
            <w:pPr>
              <w:pStyle w:val="TableContents"/>
              <w:bidi w:val="0"/>
              <w:spacing w:before="0" w:after="0"/>
              <w:jc w:val="left"/>
              <w:rPr>
                <w:b/>
                <w:color w:val="000000"/>
              </w:rPr>
            </w:pPr>
            <w:r>
              <w:rPr>
                <w:b/>
                <w:color w:val="000000"/>
              </w:rPr>
              <w:t>Signature</w:t>
            </w:r>
          </w:p>
        </w:tc>
        <w:tc>
          <w:tcPr>
            <w:tcW w:w="23"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bottom w:val="single" w:sz="12" w:space="0" w:color="000000"/>
            </w:tcBorders>
            <w:vAlign w:val="center"/>
          </w:tcPr>
          <w:p>
            <w:pPr>
              <w:pStyle w:val="TableContents"/>
              <w:bidi w:val="0"/>
              <w:spacing w:before="0" w:after="0"/>
              <w:jc w:val="left"/>
              <w:rPr>
                <w:b/>
                <w:color w:val="000000"/>
              </w:rPr>
            </w:pPr>
            <w:r>
              <w:rPr>
                <w:b/>
                <w:color w:val="000000"/>
              </w:rPr>
              <w:t>Title</w:t>
            </w:r>
          </w:p>
        </w:tc>
      </w:tr>
      <w:tr>
        <w:trPr/>
        <w:tc>
          <w:tcPr>
            <w:tcW w:w="314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283"/>
              <w:jc w:val="left"/>
              <w:rPr/>
            </w:pPr>
            <w:r>
              <w:rPr/>
              <w:t>/s/ Ying Luo, Ph.D.</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0"/>
              <w:jc w:val="left"/>
              <w:rPr>
                <w:color w:val="000000"/>
              </w:rPr>
            </w:pPr>
            <w:r>
              <w:rPr>
                <w:color w:val="000000"/>
              </w:rPr>
              <w:t>President, Chief Executive Officer and 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Ying Luo, Ph.D.</w:t>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0"/>
              <w:jc w:val="left"/>
              <w:rPr>
                <w:color w:val="000000"/>
              </w:rPr>
            </w:pPr>
            <w:r>
              <w:rPr>
                <w:color w:val="000000"/>
              </w:rPr>
              <w:t>(</w:t>
            </w:r>
            <w:r>
              <w:rPr>
                <w:i/>
                <w:color w:val="000000"/>
              </w:rPr>
              <w:t>Principal Executive Officer</w:t>
            </w:r>
            <w:r>
              <w:rPr>
                <w:color w:val="000000"/>
              </w:rPr>
              <w:t>)</w:t>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283"/>
              <w:jc w:val="left"/>
              <w:rPr/>
            </w:pPr>
            <w:r>
              <w:rPr/>
              <w:t>/s/ Thomas Eastling</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0"/>
              <w:jc w:val="left"/>
              <w:rPr>
                <w:color w:val="000000"/>
              </w:rPr>
            </w:pPr>
            <w:r>
              <w:rPr>
                <w:color w:val="000000"/>
              </w:rPr>
              <w:t>Chief Financial Officer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Thomas Eastling</w:t>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0"/>
              <w:jc w:val="left"/>
              <w:rPr>
                <w:color w:val="000000"/>
              </w:rPr>
            </w:pPr>
            <w:r>
              <w:rPr>
                <w:color w:val="000000"/>
              </w:rPr>
              <w:t>(</w:t>
            </w:r>
            <w:r>
              <w:rPr>
                <w:i/>
                <w:color w:val="000000"/>
              </w:rPr>
              <w:t>Principal Financial and Accounting Officer</w:t>
            </w:r>
            <w:r>
              <w:rPr>
                <w:color w:val="000000"/>
              </w:rPr>
              <w:t>)</w:t>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Executive Chairman</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Ping Zhang</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0"/>
              <w:jc w:val="left"/>
              <w:rPr>
                <w:color w:val="000000"/>
              </w:rPr>
            </w:pPr>
            <w:r>
              <w:rPr>
                <w:color w:val="000000"/>
              </w:rPr>
              <w:t>/s/ Gordon G. Carmichael, Ph.D.</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Gordon G. Carmichael, Ph.D.</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r>
          </w:p>
        </w:tc>
      </w:tr>
      <w:tr>
        <w:trPr/>
        <w:tc>
          <w:tcPr>
            <w:tcW w:w="3140" w:type="dxa"/>
            <w:tcBorders>
              <w:bottom w:val="single" w:sz="12" w:space="0" w:color="000000"/>
            </w:tcBorders>
            <w:vAlign w:val="center"/>
          </w:tcPr>
          <w:p>
            <w:pPr>
              <w:pStyle w:val="TableContents"/>
              <w:bidi w:val="0"/>
              <w:spacing w:before="0" w:after="0"/>
              <w:jc w:val="left"/>
              <w:rPr>
                <w:color w:val="000000"/>
              </w:rPr>
            </w:pPr>
            <w:r>
              <w:rPr>
                <w:color w:val="000000"/>
              </w:rPr>
              <w:t>/s/ David M. Epstein, Ph.D.</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David M. Epstein, Ph.D.</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0"/>
              <w:jc w:val="left"/>
              <w:rPr>
                <w:color w:val="000000"/>
              </w:rPr>
            </w:pPr>
            <w:r>
              <w:rPr>
                <w:color w:val="000000"/>
              </w:rPr>
              <w:t>/s/ Rodney L. Nussbaum</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Rodney L. Nussbaum</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0"/>
              <w:jc w:val="left"/>
              <w:rPr>
                <w:color w:val="000000"/>
              </w:rPr>
            </w:pPr>
            <w:r>
              <w:rPr>
                <w:color w:val="000000"/>
              </w:rPr>
              <w:t>/s/ Renate Parry, Ph.D.</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Renate Parry, Ph.D.</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r>
        <w:trPr/>
        <w:tc>
          <w:tcPr>
            <w:tcW w:w="3163" w:type="dxa"/>
            <w:gridSpan w:val="2"/>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tcBorders/>
            <w:tcMar>
              <w:bottom w:w="0" w:type="dxa"/>
            </w:tcMar>
            <w:vAlign w:val="center"/>
          </w:tcPr>
          <w:p>
            <w:pPr>
              <w:pStyle w:val="TableContents"/>
              <w:bidi w:val="0"/>
              <w:spacing w:before="0" w:after="283"/>
              <w:jc w:val="left"/>
              <w:rPr/>
            </w:pPr>
            <w:r>
              <w:rPr/>
              <w:t> </w:t>
            </w:r>
          </w:p>
        </w:tc>
      </w:tr>
      <w:tr>
        <w:trPr/>
        <w:tc>
          <w:tcPr>
            <w:tcW w:w="3140" w:type="dxa"/>
            <w:tcBorders>
              <w:bottom w:val="single" w:sz="12" w:space="0" w:color="000000"/>
            </w:tcBorders>
            <w:vAlign w:val="center"/>
          </w:tcPr>
          <w:p>
            <w:pPr>
              <w:pStyle w:val="TableContents"/>
              <w:bidi w:val="0"/>
              <w:spacing w:before="0" w:after="0"/>
              <w:jc w:val="left"/>
              <w:rPr>
                <w:color w:val="000000"/>
              </w:rPr>
            </w:pPr>
            <w:r>
              <w:rPr>
                <w:color w:val="000000"/>
              </w:rPr>
              <w:t>/s/ Dan Weng, M.D.</w:t>
            </w:r>
          </w:p>
        </w:tc>
        <w:tc>
          <w:tcPr>
            <w:tcW w:w="23"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4520" w:type="dxa"/>
            <w:vMerge w:val="restart"/>
            <w:tcBorders/>
            <w:tcMar>
              <w:bottom w:w="0" w:type="dxa"/>
            </w:tcMar>
            <w:vAlign w:val="center"/>
          </w:tcPr>
          <w:p>
            <w:pPr>
              <w:pStyle w:val="TableContents"/>
              <w:bidi w:val="0"/>
              <w:spacing w:before="0" w:after="0"/>
              <w:jc w:val="left"/>
              <w:rPr>
                <w:color w:val="000000"/>
              </w:rPr>
            </w:pPr>
            <w:r>
              <w:rPr>
                <w:color w:val="000000"/>
              </w:rPr>
              <w:t>Director</w:t>
            </w:r>
          </w:p>
        </w:tc>
      </w:tr>
      <w:tr>
        <w:trPr/>
        <w:tc>
          <w:tcPr>
            <w:tcW w:w="3163" w:type="dxa"/>
            <w:gridSpan w:val="2"/>
            <w:tcBorders/>
            <w:tcMar>
              <w:bottom w:w="0" w:type="dxa"/>
            </w:tcMar>
            <w:vAlign w:val="center"/>
          </w:tcPr>
          <w:p>
            <w:pPr>
              <w:pStyle w:val="TableContents"/>
              <w:bidi w:val="0"/>
              <w:spacing w:before="0" w:after="0"/>
              <w:jc w:val="left"/>
              <w:rPr>
                <w:color w:val="000000"/>
              </w:rPr>
            </w:pPr>
            <w:r>
              <w:rPr>
                <w:color w:val="000000"/>
              </w:rPr>
              <w:t>Dan Weng, M.D.</w:t>
            </w:r>
          </w:p>
        </w:tc>
        <w:tc>
          <w:tcPr>
            <w:tcW w:w="23" w:type="dxa"/>
            <w:tcBorders/>
            <w:tcMar>
              <w:bottom w:w="0" w:type="dxa"/>
            </w:tcMar>
            <w:vAlign w:val="center"/>
          </w:tcPr>
          <w:p>
            <w:pPr>
              <w:pStyle w:val="TableContents"/>
              <w:bidi w:val="0"/>
              <w:spacing w:before="0" w:after="283"/>
              <w:jc w:val="left"/>
              <w:rPr/>
            </w:pPr>
            <w:r>
              <w:rPr/>
            </w:r>
          </w:p>
        </w:tc>
        <w:tc>
          <w:tcPr>
            <w:tcW w:w="4520" w:type="dxa"/>
            <w:vMerge w:val="continue"/>
            <w:tcBorders/>
            <w:tcMar>
              <w:bottom w:w="0" w:type="dxa"/>
            </w:tcMar>
            <w:vAlign w:val="center"/>
          </w:tcPr>
          <w:p>
            <w:pPr>
              <w:pStyle w:val="Normal"/>
              <w:bidi w:val="0"/>
              <w:jc w:val="left"/>
              <w:rPr/>
            </w:pPr>
            <w:r>
              <w:rPr/>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2" w:name="ef20075357_ex4-8.htm"/>
      <w:bookmarkStart w:id="63" w:name="ksef20075357_ex48"/>
      <w:bookmarkStart w:id="64" w:name="ef20075357_ex4-8.htm"/>
      <w:bookmarkStart w:id="65" w:name="ksef20075357_ex48"/>
      <w:bookmarkEnd w:id="64"/>
      <w:bookmarkEnd w:id="6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4.8</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GYRE THERAPEUTICS,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 OF DESIGNATION OF PREFERENCES,</w:t>
        <w:br/>
        <w:t>RIGHTS AND LIMITATIONS</w:t>
        <w:br/>
        <w:t>OF</w:t>
        <w:br/>
        <w:t>SERIES B CONVERTIBLE PREFERRED STOCK</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151 of the</w:t>
        <w:br/>
        <w:t>General Corporation Law of the State of Delaware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DOES HEREBY CERTIFY, on behalf of Gyre Therapeutics, Inc., a Delaware corporation (the “</w:t>
      </w:r>
      <w:r>
        <w:rPr>
          <w:rFonts w:ascii="Times New Roman" w:hAnsi="Times New Roman"/>
          <w:b/>
          <w:i/>
          <w:color w:val="000000"/>
          <w:sz w:val="20"/>
        </w:rPr>
        <w:t>Corporation</w:t>
      </w:r>
      <w:r>
        <w:rPr>
          <w:rFonts w:ascii="Times New Roman" w:hAnsi="Times New Roman"/>
          <w:color w:val="000000"/>
          <w:sz w:val="20"/>
        </w:rPr>
        <w:t>”), that the following resolution was duly adopted by the Board of Directors of the Corporation (the “</w:t>
      </w:r>
      <w:r>
        <w:rPr>
          <w:rFonts w:ascii="Times New Roman" w:hAnsi="Times New Roman"/>
          <w:b/>
          <w:i/>
          <w:color w:val="000000"/>
          <w:sz w:val="20"/>
        </w:rPr>
        <w:t>Board of Directors</w:t>
      </w:r>
      <w:r>
        <w:rPr>
          <w:rFonts w:ascii="Times New Roman" w:hAnsi="Times New Roman"/>
          <w:color w:val="000000"/>
          <w:sz w:val="20"/>
        </w:rPr>
        <w:t>”), in accordance with the provisions of Section 151 of the General Corporation Law of the State of Delaware (the “</w:t>
      </w:r>
      <w:r>
        <w:rPr>
          <w:rFonts w:ascii="Times New Roman" w:hAnsi="Times New Roman"/>
          <w:b/>
          <w:i/>
          <w:color w:val="000000"/>
          <w:sz w:val="20"/>
        </w:rPr>
        <w:t>DGCL</w:t>
      </w:r>
      <w:r>
        <w:rPr>
          <w:rFonts w:ascii="Times New Roman" w:hAnsi="Times New Roman"/>
          <w:color w:val="000000"/>
          <w:sz w:val="20"/>
        </w:rPr>
        <w:t>”), at a meeting duly called and held on February 27, 2026, which resolution provides for the creation of a series of the Corporation’s Preferred Stock, par value $0.001 per share, which is designated as “Series B Convertible Preferred Stock,” with the preferences, rights and limitations set forth therein relating to dividends, conversion, redemption, dissolution and distribution of assets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the Restated Certificate of Incorporation of the Corporation, as amended (the “</w:t>
      </w:r>
      <w:r>
        <w:rPr>
          <w:rFonts w:ascii="Times New Roman" w:hAnsi="Times New Roman"/>
          <w:b/>
          <w:i/>
          <w:color w:val="000000"/>
          <w:sz w:val="20"/>
        </w:rPr>
        <w:t>Certificate of Incorporation</w:t>
      </w:r>
      <w:r>
        <w:rPr>
          <w:rFonts w:ascii="Times New Roman" w:hAnsi="Times New Roman"/>
          <w:color w:val="000000"/>
          <w:sz w:val="20"/>
        </w:rPr>
        <w:t>”), provides for a class of its authorized stock known as Preferred Stock, consisting of 5,000,000 shares, $0.001 par value per share (the “</w:t>
      </w:r>
      <w:r>
        <w:rPr>
          <w:rFonts w:ascii="Times New Roman" w:hAnsi="Times New Roman"/>
          <w:b/>
          <w:i/>
          <w:color w:val="000000"/>
          <w:sz w:val="20"/>
        </w:rPr>
        <w:t>Preferred Stock</w:t>
      </w:r>
      <w:r>
        <w:rPr>
          <w:rFonts w:ascii="Times New Roman" w:hAnsi="Times New Roman"/>
          <w:color w:val="000000"/>
          <w:sz w:val="20"/>
        </w:rPr>
        <w:t>”), issuable from time to time in one or more series.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RESOLVED</w:t>
      </w:r>
      <w:r>
        <w:rPr>
          <w:rFonts w:ascii="Times New Roman" w:hAnsi="Times New Roman"/>
          <w:color w:val="000000"/>
          <w:sz w:val="20"/>
        </w:rPr>
        <w:t>:          that, pursuant to authority conferred upon the Board of Directors by the Certificate of Incorporation, (i) a new series of Preferred Stock of the Corporation be, and hereby is authorized by the Board of Directors, (ii) the Board of Directors hereby authorizes the issuance of 3,697,235 shares of “Series B Convertible Preferred Stock” pursuant to the terms of the Agreement and Plan of Merger and Reorganization, dated as of March 2, 2026, by and among the Corporation, Helix Merger Sub Corp., a Delaware corporation and wholly owned subsidiary of the Corporation, and Cullgen, Inc., a Delaware corporation (the “</w:t>
      </w:r>
      <w:r>
        <w:rPr>
          <w:rFonts w:ascii="Times New Roman" w:hAnsi="Times New Roman"/>
          <w:b/>
          <w:i/>
          <w:color w:val="000000"/>
          <w:sz w:val="20"/>
        </w:rPr>
        <w:t>Merger Agreement</w:t>
      </w:r>
      <w:r>
        <w:rPr>
          <w:rFonts w:ascii="Times New Roman" w:hAnsi="Times New Roman"/>
          <w:color w:val="000000"/>
          <w:sz w:val="20"/>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spacing w:before="0" w:after="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TERMS OF SERIES B CONVERTIBLE PREFERRED STOCK</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Definitions</w:t>
      </w:r>
      <w:r>
        <w:rPr>
          <w:rFonts w:ascii="Times New Roman" w:hAnsi="Times New Roman"/>
          <w:color w:val="000000"/>
          <w:sz w:val="20"/>
        </w:rPr>
        <w:t>.  For the purposes hereof, the following terms shall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1102"/>
        <w:jc w:val="left"/>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Buy-In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6.5.4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Closing Sale Price</w:t>
      </w:r>
      <w:r>
        <w:rPr>
          <w:rFonts w:ascii="Times New Roman" w:hAnsi="Times New Roman"/>
          <w:color w:val="000000"/>
          <w:sz w:val="20"/>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Commission</w:t>
      </w:r>
      <w:r>
        <w:rPr>
          <w:rFonts w:ascii="Times New Roman" w:hAnsi="Times New Roman"/>
          <w:color w:val="000000"/>
          <w:sz w:val="20"/>
        </w:rPr>
        <w:t>” means the United States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Common Stock</w:t>
      </w:r>
      <w:r>
        <w:rPr>
          <w:rFonts w:ascii="Times New Roman" w:hAnsi="Times New Roman"/>
          <w:color w:val="000000"/>
          <w:sz w:val="20"/>
        </w:rPr>
        <w:t>” means the Corporation’s common stock, par value $0.001 per share, and stock of any other class of securities into which such securities may hereafter be reclassified or changed.</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Conversion Shares</w:t>
      </w:r>
      <w:r>
        <w:rPr>
          <w:rFonts w:ascii="Times New Roman" w:hAnsi="Times New Roman"/>
          <w:color w:val="000000"/>
          <w:sz w:val="20"/>
        </w:rPr>
        <w:t>” means, collectively, the shares of Common Stock issuable upon conversion of the shares of Series B Preferred Stock in accordance with the terms hereof.</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Effective Time</w:t>
      </w:r>
      <w:r>
        <w:rPr>
          <w:rFonts w:ascii="Times New Roman" w:hAnsi="Times New Roman"/>
          <w:color w:val="000000"/>
          <w:sz w:val="20"/>
        </w:rPr>
        <w:t>” means the time at which the merger pursuant to the terms of the Merger Agreement becomes effective.</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Holder</w:t>
      </w:r>
      <w:r>
        <w:rPr>
          <w:rFonts w:ascii="Times New Roman" w:hAnsi="Times New Roman"/>
          <w:color w:val="000000"/>
          <w:sz w:val="20"/>
        </w:rPr>
        <w:t>” means a holder of shares of Series B Preferred Stock.</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Trading Day</w:t>
      </w:r>
      <w:r>
        <w:rPr>
          <w:rFonts w:ascii="Times New Roman" w:hAnsi="Times New Roman"/>
          <w:color w:val="000000"/>
          <w:sz w:val="20"/>
        </w:rPr>
        <w:t>” means a day on which the principal Trading Market is open for business.</w:t>
      </w:r>
    </w:p>
    <w:p>
      <w:pPr>
        <w:pStyle w:val="TextBody"/>
        <w:bidi w:val="0"/>
        <w:spacing w:before="0" w:after="0"/>
        <w:jc w:val="left"/>
        <w:rPr>
          <w:color w:val="000000"/>
        </w:rPr>
      </w:pPr>
      <w:r>
        <w:rPr>
          <w:color w:val="000000"/>
        </w:rPr>
        <w:t> </w:t>
      </w:r>
    </w:p>
    <w:p>
      <w:pPr>
        <w:pStyle w:val="TextBody"/>
        <w:bidi w:val="0"/>
        <w:spacing w:before="0" w:after="0"/>
        <w:ind w:left="0" w:right="0" w:firstLine="1094"/>
        <w:jc w:val="both"/>
        <w:rPr>
          <w:color w:val="000000"/>
        </w:rPr>
      </w:pPr>
      <w:r>
        <w:rPr>
          <w:color w:val="000000"/>
        </w:rPr>
        <w:t>“</w:t>
      </w:r>
      <w:r>
        <w:rPr>
          <w:rFonts w:ascii="Times New Roman" w:hAnsi="Times New Roman"/>
          <w:b/>
          <w:i/>
          <w:color w:val="000000"/>
          <w:sz w:val="20"/>
        </w:rPr>
        <w:t>Trading Market</w:t>
      </w:r>
      <w:r>
        <w:rPr>
          <w:rFonts w:ascii="Times New Roman" w:hAnsi="Times New Roman"/>
          <w:color w:val="000000"/>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Designation, Amount and Par Value</w:t>
      </w:r>
      <w:r>
        <w:rPr>
          <w:rFonts w:ascii="Times New Roman" w:hAnsi="Times New Roman"/>
          <w:color w:val="000000"/>
          <w:sz w:val="20"/>
        </w:rPr>
        <w:t>.  The series of Preferred Stock shall be designated as the Corporation’s Series B Convertible Preferred Stock (the “</w:t>
      </w:r>
      <w:r>
        <w:rPr>
          <w:rFonts w:ascii="Times New Roman" w:hAnsi="Times New Roman"/>
          <w:b/>
          <w:i/>
          <w:color w:val="000000"/>
          <w:sz w:val="20"/>
        </w:rPr>
        <w:t>Series B Preferred Stock</w:t>
      </w:r>
      <w:r>
        <w:rPr>
          <w:rFonts w:ascii="Times New Roman" w:hAnsi="Times New Roman"/>
          <w:color w:val="000000"/>
          <w:sz w:val="20"/>
        </w:rPr>
        <w:t>”) and the number of shares so designated shall be 3,697,235. Each share of Series B Preferred Stock shall have a par value of $0.001 per share.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Dividends</w:t>
      </w:r>
      <w:r>
        <w:rPr>
          <w:rFonts w:ascii="Times New Roman" w:hAnsi="Times New Roman"/>
          <w:color w:val="000000"/>
          <w:sz w:val="20"/>
        </w:rPr>
        <w:t>. Holders shall be entitled to receive, and the Corporation shall pay, dividends on shares of the Series B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Preferred Stock, and the Corporation shall pay no dividends (other than dividends payable in the form of Common Stock) on shares of the Common Stock unless it simultaneously complies with the previous sentence.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Voting Rights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4.1          On all matters submitted to a vote of the Corporation's stockholders, the holders of shares of Series B Preferred Stock shall vote together with the holders of Common Stock as a single class and, in connection therewith, each holder of outstanding shares of Series B Preferred Stock shall be entitled to cast one vote for each share of Series B Preferred Stock held by such holder as of the record date for determining stockholders entitled to vote on such matter.  In addition to any other vote required herein or by the DGCL, as long as any shares of Series B Preferred Stock are outstanding, the Corporation shall not, without the affirmative vote of the holders of a majority of the then outstanding shares of the Series B Preferred Stock: (i) alter or change adversely the powers, preferences or rights given to the Series B Preferred Stock or alter or amend this Certificate of Designation, amend or repeal any provision of, or add any provision to, the Certificate of Incorporation or Bylaws of the Corporation (as amended, restated or amended and restated from time to time),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shall be by means of amendment to the Certificate of Incorporation or by merger, consolidation, recapitalization, reclassification, conversion or otherwise, (ii) issue further shares of Series B Preferred Stock or increase or decrease (other than by conversion) the number of authorized shares of Series B Preferred Stock, (iii) at any time prior to the approval Stockholder Approval,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authorized number of directors constituting the Board of Directors of the Corporation or change the number of votes entitled to be cast by any director or directors on any matter, or (C) enter into any agreement with respect to any of the foregoing. Holders of shares of Common Stock acquired upon the conversion of shares of Series B Preferred Stock shall be entitled to the same voting rights as each other holder of Common Stock, except that such holders may not vote such shares upon the proposal for Stockholder Approval in accordance with Rule 5635 of the listing rules of The Nasdaq Stock Market LLC (“</w:t>
      </w:r>
      <w:r>
        <w:rPr>
          <w:rFonts w:ascii="Times New Roman" w:hAnsi="Times New Roman"/>
          <w:b/>
          <w:i/>
          <w:color w:val="000000"/>
          <w:sz w:val="20"/>
        </w:rPr>
        <w:t>Nasdaq</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4.2          Any vote required or permitted under </w:t>
      </w:r>
      <w:r>
        <w:rPr>
          <w:rFonts w:ascii="Times New Roman" w:hAnsi="Times New Roman"/>
          <w:color w:val="000000"/>
          <w:sz w:val="20"/>
          <w:u w:val="single"/>
        </w:rPr>
        <w:t>Section 4.1</w:t>
      </w:r>
      <w:r>
        <w:rPr>
          <w:rFonts w:ascii="Times New Roman" w:hAnsi="Times New Roman"/>
          <w:color w:val="000000"/>
          <w:sz w:val="20"/>
        </w:rPr>
        <w:t xml:space="preserve"> may be taken at a meeting of the Holders or the Board of Directors, or through the execution of an action by written consent in lieu of such meeting, provided that the consent is executed by Holders representing a majority of the outstanding shares of Series B Preferred Stock.</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Rank; Liquidation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5.1          The Series B Preferred Stock shall rank on parity with the Common Stock as to distributions of assets upon liquidation, dissolution or winding up of the Corporation, whether voluntarily or involuntarily.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5.2          Upon any liquidation, dissolution or winding-up of the Corporation, whether voluntary or involuntary (a “</w:t>
      </w:r>
      <w:r>
        <w:rPr>
          <w:rFonts w:ascii="Times New Roman" w:hAnsi="Times New Roman"/>
          <w:b/>
          <w:i/>
          <w:color w:val="000000"/>
          <w:sz w:val="20"/>
        </w:rPr>
        <w:t>Liquidation</w:t>
      </w:r>
      <w:r>
        <w:rPr>
          <w:rFonts w:ascii="Times New Roman" w:hAnsi="Times New Roman"/>
          <w:color w:val="000000"/>
          <w:sz w:val="20"/>
        </w:rPr>
        <w:t xml:space="preserve">”), each Holder shall be entitled to receive out of the assets, whether capital or surplus, of the Corporation the same amount that a holder of Common Stock would receive if the Series B Preferred Stock were fully converted (disregarding for such purpose any Beneficial Ownership Limitations) to Common Stock which amounts shall be paid </w:t>
      </w:r>
      <w:r>
        <w:rPr>
          <w:rFonts w:ascii="Times New Roman" w:hAnsi="Times New Roman"/>
          <w:i/>
          <w:color w:val="000000"/>
          <w:sz w:val="20"/>
        </w:rPr>
        <w:t>pari passu</w:t>
      </w:r>
      <w:r>
        <w:rPr>
          <w:rFonts w:ascii="Times New Roman" w:hAnsi="Times New Roman"/>
          <w:color w:val="000000"/>
          <w:sz w:val="20"/>
        </w:rPr>
        <w:t xml:space="preserve"> with all holders of Common Stock, plus an additional amount equal to any dividends declared on but unpaid to such shares. If, upon any such Liquidation, the assets of the Corporation shall be insufficient to pay the Holders of shares of the Series B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Conversion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6.1          </w:t>
      </w:r>
      <w:r>
        <w:rPr>
          <w:rFonts w:ascii="Times New Roman" w:hAnsi="Times New Roman"/>
          <w:color w:val="000000"/>
          <w:sz w:val="20"/>
          <w:u w:val="single"/>
        </w:rPr>
        <w:t>Prohibition on Conversion</w:t>
      </w:r>
      <w:r>
        <w:rPr>
          <w:rFonts w:ascii="Times New Roman" w:hAnsi="Times New Roman"/>
          <w:color w:val="000000"/>
          <w:sz w:val="20"/>
        </w:rPr>
        <w:t xml:space="preserve">.  Notwithstanding anything herein to the contrary, the Corporation shall not effect any conversion of any share of Series B Preferred Stock, and a Holder shall not have the right to convert any portion of the Series B Preferred Stock pursuant to </w:t>
      </w:r>
      <w:r>
        <w:rPr>
          <w:rFonts w:ascii="Times New Roman" w:hAnsi="Times New Roman"/>
          <w:color w:val="000000"/>
          <w:sz w:val="20"/>
          <w:u w:val="single"/>
        </w:rPr>
        <w:t xml:space="preserve">Section 6.2 or otherwise, unless such Holder has, prior to any such conversion of </w:t>
      </w:r>
      <w:r>
        <w:rPr>
          <w:rFonts w:ascii="Times New Roman" w:hAnsi="Times New Roman"/>
          <w:color w:val="000000"/>
          <w:sz w:val="20"/>
        </w:rPr>
        <w:t>Series B Preferred Stock, executed and delivered to the Corporation a lock up agreement, substantially in the form set forth as an exhibit to the Merger Agreement. Any purported conversion in violation of this Section 6.1 shall be null and void and of no force or effect whatsoever.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6.2          </w:t>
      </w:r>
      <w:r>
        <w:rPr>
          <w:rFonts w:ascii="Times New Roman" w:hAnsi="Times New Roman"/>
          <w:color w:val="000000"/>
          <w:sz w:val="20"/>
          <w:u w:val="single"/>
        </w:rPr>
        <w:t>Conversion at Option of Holder</w:t>
      </w:r>
      <w:r>
        <w:rPr>
          <w:rFonts w:ascii="Times New Roman" w:hAnsi="Times New Roman"/>
          <w:color w:val="000000"/>
          <w:sz w:val="20"/>
        </w:rPr>
        <w:t xml:space="preserve">.  Subject to </w:t>
      </w:r>
      <w:r>
        <w:rPr>
          <w:rFonts w:ascii="Times New Roman" w:hAnsi="Times New Roman"/>
          <w:color w:val="000000"/>
          <w:sz w:val="20"/>
          <w:u w:val="single"/>
        </w:rPr>
        <w:t>Section 6.4</w:t>
      </w:r>
      <w:r>
        <w:rPr>
          <w:rFonts w:ascii="Times New Roman" w:hAnsi="Times New Roman"/>
          <w:color w:val="000000"/>
          <w:sz w:val="20"/>
        </w:rPr>
        <w:t xml:space="preserve"> and </w:t>
      </w:r>
      <w:r>
        <w:rPr>
          <w:rFonts w:ascii="Times New Roman" w:hAnsi="Times New Roman"/>
          <w:color w:val="000000"/>
          <w:sz w:val="20"/>
          <w:u w:val="single"/>
        </w:rPr>
        <w:t>Section 6.5.3</w:t>
      </w:r>
      <w:r>
        <w:rPr>
          <w:rFonts w:ascii="Times New Roman" w:hAnsi="Times New Roman"/>
          <w:color w:val="000000"/>
          <w:sz w:val="20"/>
        </w:rPr>
        <w:t>, each share of Series B Preferred Stock then outstanding shall be convertible, at any time and from time to time following 5:00 p.m. Eastern time on the third Business Day after the date that the Corporation’s stockholders approve the conversion of the Series B Preferred Stock into shares of Common Stock in accordance with Nasdaq listing rules, as set forth in Section 4.1 of the Merger Agreement (the “</w:t>
      </w:r>
      <w:r>
        <w:rPr>
          <w:rFonts w:ascii="Times New Roman" w:hAnsi="Times New Roman"/>
          <w:b/>
          <w:i/>
          <w:color w:val="000000"/>
          <w:sz w:val="20"/>
        </w:rPr>
        <w:t>Stockholder Approval</w:t>
      </w:r>
      <w:r>
        <w:rPr>
          <w:rFonts w:ascii="Times New Roman" w:hAnsi="Times New Roman"/>
          <w:color w:val="000000"/>
          <w:sz w:val="20"/>
        </w:rPr>
        <w:t>”), at the option of the Holder thereof, into a number of shares of Common Stock equal to the Conversion Ratio, subject to the Beneficial Ownership Limitation (as defined below) (each, an “</w:t>
      </w:r>
      <w:r>
        <w:rPr>
          <w:rFonts w:ascii="Times New Roman" w:hAnsi="Times New Roman"/>
          <w:b/>
          <w:i/>
          <w:color w:val="000000"/>
          <w:sz w:val="20"/>
        </w:rPr>
        <w:t>Optional Conversion</w:t>
      </w:r>
      <w:r>
        <w:rPr>
          <w:rFonts w:ascii="Times New Roman" w:hAnsi="Times New Roman"/>
          <w:color w:val="000000"/>
          <w:sz w:val="20"/>
        </w:rPr>
        <w:t xml:space="preserve">”). Holders shall effect conversions by providing the Corporation with the form of conversion notice attached hereto as </w:t>
      </w:r>
      <w:r>
        <w:rPr>
          <w:rFonts w:ascii="Times New Roman" w:hAnsi="Times New Roman"/>
          <w:b/>
          <w:color w:val="000000"/>
          <w:sz w:val="20"/>
          <w:u w:val="single"/>
        </w:rPr>
        <w:t>Annex A</w:t>
      </w:r>
      <w:r>
        <w:rPr>
          <w:rFonts w:ascii="Times New Roman" w:hAnsi="Times New Roman"/>
          <w:color w:val="000000"/>
          <w:sz w:val="20"/>
        </w:rPr>
        <w:t xml:space="preserve"> (a “</w:t>
      </w:r>
      <w:r>
        <w:rPr>
          <w:rFonts w:ascii="Times New Roman" w:hAnsi="Times New Roman"/>
          <w:b/>
          <w:i/>
          <w:color w:val="000000"/>
          <w:sz w:val="20"/>
        </w:rPr>
        <w:t>Notice of Conversion</w:t>
      </w:r>
      <w:r>
        <w:rPr>
          <w:rFonts w:ascii="Times New Roman" w:hAnsi="Times New Roman"/>
          <w:color w:val="000000"/>
          <w:sz w:val="20"/>
        </w:rPr>
        <w:t>”), duly completed and executed. Provided the Corporation’s transfer agent is participating in the Depository Trust Company (“</w:t>
      </w:r>
      <w:r>
        <w:rPr>
          <w:rFonts w:ascii="Times New Roman" w:hAnsi="Times New Roman"/>
          <w:b/>
          <w:i/>
          <w:color w:val="000000"/>
          <w:sz w:val="20"/>
        </w:rPr>
        <w:t>DTC</w:t>
      </w:r>
      <w:r>
        <w:rPr>
          <w:rFonts w:ascii="Times New Roman" w:hAnsi="Times New Roman"/>
          <w:color w:val="000000"/>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0"/>
        </w:rPr>
        <w:t>DWAC Delivery</w:t>
      </w:r>
      <w:r>
        <w:rPr>
          <w:rFonts w:ascii="Times New Roman" w:hAnsi="Times New Roman"/>
          <w:color w:val="000000"/>
          <w:sz w:val="20"/>
        </w:rPr>
        <w:t>”). The date on which an Optional Conversion shall be deemed effective (the “</w:t>
      </w:r>
      <w:r>
        <w:rPr>
          <w:rFonts w:ascii="Times New Roman" w:hAnsi="Times New Roman"/>
          <w:b/>
          <w:i/>
          <w:color w:val="000000"/>
          <w:sz w:val="20"/>
        </w:rPr>
        <w:t>Conversion Date</w:t>
      </w:r>
      <w:r>
        <w:rPr>
          <w:rFonts w:ascii="Times New Roman" w:hAnsi="Times New Roman"/>
          <w:color w:val="000000"/>
          <w:sz w:val="20"/>
        </w:rPr>
        <w:t>”) shall be the Trading Day that the Notice of Conversion, completed and executed, is sent via email to, and received during regular business hours by, the Corporation; provided, that the original certificate(s) (if any) representing such shares of Series B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Preferred Stock being converted, duly endorsed, and the accompanying Notice of Conversion, are received by the Corporation. The calculations set forth in the Notice of Conversion shall control in the absence of manifest or mathematical error.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6.3          </w:t>
      </w:r>
      <w:r>
        <w:rPr>
          <w:rFonts w:ascii="Times New Roman" w:hAnsi="Times New Roman"/>
          <w:color w:val="000000"/>
          <w:sz w:val="20"/>
          <w:u w:val="single"/>
        </w:rPr>
        <w:t>Conversion Ratio</w:t>
      </w:r>
      <w:r>
        <w:rPr>
          <w:rFonts w:ascii="Times New Roman" w:hAnsi="Times New Roman"/>
          <w:color w:val="000000"/>
          <w:sz w:val="20"/>
        </w:rPr>
        <w:t>.  The “</w:t>
      </w:r>
      <w:r>
        <w:rPr>
          <w:rFonts w:ascii="Times New Roman" w:hAnsi="Times New Roman"/>
          <w:b/>
          <w:i/>
          <w:color w:val="000000"/>
          <w:sz w:val="20"/>
        </w:rPr>
        <w:t>Conversion Ratio</w:t>
      </w:r>
      <w:r>
        <w:rPr>
          <w:rFonts w:ascii="Times New Roman" w:hAnsi="Times New Roman"/>
          <w:color w:val="000000"/>
          <w:sz w:val="20"/>
        </w:rPr>
        <w:t>” for each share of Series B Preferred Stock shall be five (5) shares of Common Stock issuable upon the conversion (the “</w:t>
      </w:r>
      <w:r>
        <w:rPr>
          <w:rFonts w:ascii="Times New Roman" w:hAnsi="Times New Roman"/>
          <w:b/>
          <w:i/>
          <w:color w:val="000000"/>
          <w:sz w:val="20"/>
        </w:rPr>
        <w:t>Conversion</w:t>
      </w:r>
      <w:r>
        <w:rPr>
          <w:rFonts w:ascii="Times New Roman" w:hAnsi="Times New Roman"/>
          <w:color w:val="000000"/>
          <w:sz w:val="20"/>
        </w:rPr>
        <w:t>”) of each share of Series B Preferred Stock (corresponding to a ratio of 5:1), subject to adjustment as provided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6.4          </w:t>
      </w:r>
      <w:r>
        <w:rPr>
          <w:rFonts w:ascii="Times New Roman" w:hAnsi="Times New Roman"/>
          <w:color w:val="000000"/>
          <w:sz w:val="20"/>
          <w:u w:val="single"/>
        </w:rPr>
        <w:t>Beneficial Ownership Limitation</w:t>
      </w:r>
      <w:r>
        <w:rPr>
          <w:rFonts w:ascii="Times New Roman" w:hAnsi="Times New Roman"/>
          <w:color w:val="000000"/>
          <w:sz w:val="20"/>
        </w:rPr>
        <w:t xml:space="preserve">. Notwithstanding anything herein to the contrary, and except as set forth herein, the Corporation shall not effect any conversion of any share of Series B Preferred Stock, and a Holder shall not have the right to convert any portion of the Series B Preferred Stock pursuant to </w:t>
      </w:r>
      <w:r>
        <w:rPr>
          <w:rFonts w:ascii="Times New Roman" w:hAnsi="Times New Roman"/>
          <w:color w:val="000000"/>
          <w:sz w:val="20"/>
          <w:u w:val="single"/>
        </w:rPr>
        <w:t>Section 6.2</w:t>
      </w:r>
      <w:r>
        <w:rPr>
          <w:rFonts w:ascii="Times New Roman" w:hAnsi="Times New Roman"/>
          <w:color w:val="000000"/>
          <w:sz w:val="20"/>
        </w:rPr>
        <w:t>, to the extent that, after giving effect to such attempted conversion set forth on an applicable Notice of Conversion (as defined in the Certificate of Designation)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0"/>
        </w:rPr>
        <w:t>Attribution Parties</w:t>
      </w:r>
      <w:r>
        <w:rPr>
          <w:rFonts w:ascii="Times New Roman" w:hAnsi="Times New Roman"/>
          <w:color w:val="000000"/>
          <w:sz w:val="20"/>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Preferred Stock subject to the Notice of Conversion, with respect to which such determination is being made, but shall exclude the number of shares of Common Stock which are issuable upon (A) conversion of the remaining, unconverted Series B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0"/>
          <w:u w:val="single"/>
        </w:rPr>
        <w:t>Section 6.4</w:t>
      </w:r>
      <w:r>
        <w:rPr>
          <w:rFonts w:ascii="Times New Roman" w:hAnsi="Times New Roman"/>
          <w:color w:val="000000"/>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0"/>
          <w:u w:val="single"/>
        </w:rPr>
        <w:t>Section 6.4</w:t>
      </w:r>
      <w:r>
        <w:rPr>
          <w:rFonts w:ascii="Times New Roman" w:hAnsi="Times New Roman"/>
          <w:color w:val="000000"/>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Preferred Stock, by such Holder or its Attribution Parties since the date as of which such number of outstanding shares of Common Stock was last publicly reported or confirmed to the Holder. The “</w:t>
      </w:r>
      <w:r>
        <w:rPr>
          <w:rFonts w:ascii="Times New Roman" w:hAnsi="Times New Roman"/>
          <w:b/>
          <w:i/>
          <w:color w:val="000000"/>
          <w:sz w:val="20"/>
        </w:rPr>
        <w:t>Beneficial Ownership Limitation</w:t>
      </w:r>
      <w:r>
        <w:rPr>
          <w:rFonts w:ascii="Times New Roman" w:hAnsi="Times New Roman"/>
          <w:color w:val="000000"/>
          <w:sz w:val="20"/>
        </w:rPr>
        <w:t xml:space="preserve">”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provided, however, that any Holder that holds in excess of 19.99% of the number of shares of Common Stock outstanding immediately prior to the Effective Time shall not be subject to the ownership limitations set forth in this Section 6.4.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12 months after the initial issuance of the Series B Preferred Stock, the date that is three Business Days after the date that is 12 months after the initial issuance of the Series B Preferred Stock.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0"/>
          <w:u w:val="single"/>
        </w:rPr>
        <w:t>Section 6.4</w:t>
      </w:r>
      <w:r>
        <w:rPr>
          <w:rFonts w:ascii="Times New Roman" w:hAnsi="Times New Roman"/>
          <w:color w:val="000000"/>
          <w:sz w:val="20"/>
        </w:rPr>
        <w:t xml:space="preserve">.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Times New Roman" w:hAnsi="Times New Roman"/>
          <w:color w:val="000000"/>
          <w:sz w:val="20"/>
          <w:u w:val="single"/>
        </w:rPr>
        <w:t xml:space="preserve">Section 6.4 </w:t>
      </w:r>
      <w:r>
        <w:rPr>
          <w:rFonts w:ascii="Times New Roman" w:hAnsi="Times New Roman"/>
          <w:color w:val="000000"/>
          <w:sz w:val="20"/>
        </w:rPr>
        <w:t>shall be construed, corrected and implemented in a manner so as to effectuate the intended Beneficial Ownership Limitation herein contained and the shares of Common Stock underlying the Series B Preferred Stock in excess of the Beneficial Ownership Limitation shall not be deemed to be beneficially owned by the Holder for any purpose including for purposes of Section 13(d) or Rule 16a-1(a)(1) of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6.5          </w:t>
      </w:r>
      <w:r>
        <w:rPr>
          <w:rFonts w:ascii="Times New Roman" w:hAnsi="Times New Roman"/>
          <w:color w:val="000000"/>
          <w:sz w:val="20"/>
          <w:u w:val="single"/>
        </w:rPr>
        <w:t>Mechanics of Conversion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6.5.1          </w:t>
      </w:r>
      <w:r>
        <w:rPr>
          <w:rFonts w:ascii="Times New Roman" w:hAnsi="Times New Roman"/>
          <w:color w:val="000000"/>
          <w:sz w:val="20"/>
          <w:u w:val="single"/>
        </w:rPr>
        <w:t>Delivery of Certificate or Electronic Issuance</w:t>
      </w:r>
      <w:r>
        <w:rPr>
          <w:rFonts w:ascii="Times New Roman" w:hAnsi="Times New Roman"/>
          <w:color w:val="000000"/>
          <w:sz w:val="20"/>
        </w:rPr>
        <w:t>.  Upon Conversion not later than two (2) Trading Days after the applicable Conversion Date, or if the Holder requests the issuance of physical certificate(s), two (2) Trading Days after receipt by the Corporation of the original certificate(s) representing such shares of Series B Preferred Stock being converted, duly endorsed, and the accompanying Notice of Conversion (the “</w:t>
      </w:r>
      <w:r>
        <w:rPr>
          <w:rFonts w:ascii="Times New Roman" w:hAnsi="Times New Roman"/>
          <w:b/>
          <w:i/>
          <w:color w:val="000000"/>
          <w:sz w:val="20"/>
        </w:rPr>
        <w:t>Share Delivery Date</w:t>
      </w:r>
      <w:r>
        <w:rPr>
          <w:rFonts w:ascii="Times New Roman" w:hAnsi="Times New Roman"/>
          <w:color w:val="000000"/>
          <w:sz w:val="20"/>
        </w:rPr>
        <w:t>”), the Corporation shall either: (a) deliver, or cause to be delivered, to the converting Holder a physical certificate or certificates representing the number of Conversion Shares being acquired upon the conversion of shares of Series B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Preferred Stock unsuccessfully tendered for conversion to the Corporation.</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6.5.2          </w:t>
      </w:r>
      <w:r>
        <w:rPr>
          <w:rFonts w:ascii="Times New Roman" w:hAnsi="Times New Roman"/>
          <w:color w:val="000000"/>
          <w:sz w:val="20"/>
          <w:u w:val="single"/>
        </w:rPr>
        <w:t>Obligation Absolute</w:t>
      </w:r>
      <w:r>
        <w:rPr>
          <w:rFonts w:ascii="Times New Roman" w:hAnsi="Times New Roman"/>
          <w:color w:val="000000"/>
          <w:sz w:val="20"/>
        </w:rPr>
        <w:t xml:space="preserve">. Subject to </w:t>
      </w:r>
      <w:r>
        <w:rPr>
          <w:rFonts w:ascii="Times New Roman" w:hAnsi="Times New Roman"/>
          <w:color w:val="000000"/>
          <w:sz w:val="20"/>
          <w:u w:val="single"/>
        </w:rPr>
        <w:t>Section 6.4</w:t>
      </w:r>
      <w:r>
        <w:rPr>
          <w:rFonts w:ascii="Times New Roman" w:hAnsi="Times New Roman"/>
          <w:color w:val="000000"/>
          <w:sz w:val="20"/>
        </w:rPr>
        <w:t xml:space="preserve">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xml:space="preserve">, the Corporation’s obligation to issue and deliver the Conversion Shares upon conversion of Series B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color w:val="000000"/>
          <w:sz w:val="20"/>
          <w:u w:val="single"/>
        </w:rPr>
        <w:t>Section 6.4</w:t>
      </w:r>
      <w:r>
        <w:rPr>
          <w:rFonts w:ascii="Times New Roman" w:hAnsi="Times New Roman"/>
          <w:color w:val="000000"/>
          <w:sz w:val="20"/>
        </w:rPr>
        <w:t xml:space="preserve">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xml:space="preserve">, in the event a Holder shall elect to convert any or all of its Series B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Preferred Stock of such Holder shall have been sought and obtained by the Corporation, and the Corporation posts a surety bond for the benefit of such Holder in the amount of 150% of the value of the Conversion Shares into which would be converted the Series B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color w:val="000000"/>
          <w:sz w:val="20"/>
          <w:u w:val="single"/>
        </w:rPr>
        <w:t>Section 6.4</w:t>
      </w:r>
      <w:r>
        <w:rPr>
          <w:rFonts w:ascii="Times New Roman" w:hAnsi="Times New Roman"/>
          <w:color w:val="000000"/>
          <w:sz w:val="20"/>
        </w:rPr>
        <w:t xml:space="preserve">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issue Conversion Shares upon a properly noticed conversion.</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6.5.3          </w:t>
      </w:r>
      <w:r>
        <w:rPr>
          <w:rFonts w:ascii="Times New Roman" w:hAnsi="Times New Roman"/>
          <w:color w:val="000000"/>
          <w:sz w:val="20"/>
          <w:u w:val="single"/>
        </w:rPr>
        <w:t>Cash Settlement</w:t>
      </w:r>
      <w:r>
        <w:rPr>
          <w:rFonts w:ascii="Times New Roman" w:hAnsi="Times New Roman"/>
          <w:color w:val="000000"/>
          <w:sz w:val="20"/>
        </w:rPr>
        <w:t xml:space="preserve">. If, at any time after the earlier of Stockholder Approval or 12 months after the initial issuance of the Series B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color w:val="000000"/>
          <w:sz w:val="20"/>
          <w:u w:val="single"/>
        </w:rPr>
        <w:t>Section 6.5.1</w:t>
      </w:r>
      <w:r>
        <w:rPr>
          <w:rFonts w:ascii="Times New Roman" w:hAnsi="Times New Roman"/>
          <w:color w:val="000000"/>
          <w:sz w:val="20"/>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applicable Notice of Conversion pursuant to </w:t>
      </w:r>
      <w:r>
        <w:rPr>
          <w:rFonts w:ascii="Times New Roman" w:hAnsi="Times New Roman"/>
          <w:color w:val="000000"/>
          <w:sz w:val="20"/>
          <w:u w:val="single"/>
        </w:rPr>
        <w:t>Section 6.5.1</w:t>
      </w:r>
      <w:r>
        <w:rPr>
          <w:rFonts w:ascii="Times New Roman" w:hAnsi="Times New Roman"/>
          <w:color w:val="000000"/>
          <w:sz w:val="20"/>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Times New Roman" w:hAnsi="Times New Roman"/>
          <w:color w:val="000000"/>
          <w:sz w:val="20"/>
          <w:u w:val="single"/>
        </w:rPr>
        <w:t>Section 6.5.3</w:t>
      </w:r>
      <w:r>
        <w:rPr>
          <w:rFonts w:ascii="Times New Roman" w:hAnsi="Times New Roman"/>
          <w:color w:val="000000"/>
          <w:sz w:val="20"/>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color w:val="000000"/>
          <w:sz w:val="20"/>
          <w:u w:val="single"/>
        </w:rPr>
        <w:t>Section 6.5.3</w:t>
      </w:r>
      <w:r>
        <w:rPr>
          <w:rFonts w:ascii="Times New Roman" w:hAnsi="Times New Roman"/>
          <w:color w:val="000000"/>
          <w:sz w:val="20"/>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including due to limitations set forth in </w:t>
      </w:r>
      <w:r>
        <w:rPr>
          <w:rFonts w:ascii="Times New Roman" w:hAnsi="Times New Roman"/>
          <w:color w:val="000000"/>
          <w:sz w:val="20"/>
          <w:u w:val="single"/>
        </w:rPr>
        <w:t>Section 6.5.6</w:t>
      </w:r>
      <w:r>
        <w:rPr>
          <w:rFonts w:ascii="Times New Roman" w:hAnsi="Times New Roman"/>
          <w:color w:val="000000"/>
          <w:sz w:val="20"/>
        </w:rPr>
        <w:t>, the lack of obtaining Stockholder Approval, or due to applicable Trading Market rules.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6.5.4          </w:t>
      </w:r>
      <w:r>
        <w:rPr>
          <w:rFonts w:ascii="Times New Roman" w:hAnsi="Times New Roman"/>
          <w:color w:val="000000"/>
          <w:sz w:val="20"/>
          <w:u w:val="single"/>
        </w:rPr>
        <w:t>Buy-In on Failure to Timely Deliver Certificates</w:t>
      </w:r>
      <w:r>
        <w:rPr>
          <w:rFonts w:ascii="Times New Roman" w:hAnsi="Times New Roman"/>
          <w:color w:val="000000"/>
          <w:sz w:val="20"/>
        </w:rPr>
        <w:t xml:space="preserve">. If the Corporation fails to deliver to a Holder the applicable certificate or certificates or to effect a DWAC Delivery, as applicable, by the Share Delivery Date pursuant to </w:t>
      </w:r>
      <w:r>
        <w:rPr>
          <w:rFonts w:ascii="Times New Roman" w:hAnsi="Times New Roman"/>
          <w:color w:val="000000"/>
          <w:sz w:val="20"/>
          <w:u w:val="single"/>
        </w:rPr>
        <w:t>Section 6.5.1</w:t>
      </w:r>
      <w:r>
        <w:rPr>
          <w:rFonts w:ascii="Times New Roman" w:hAnsi="Times New Roman"/>
          <w:color w:val="000000"/>
          <w:sz w:val="20"/>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color w:val="000000"/>
          <w:sz w:val="20"/>
        </w:rPr>
        <w:t>Buy-In</w:t>
      </w:r>
      <w:r>
        <w:rPr>
          <w:rFonts w:ascii="Times New Roman" w:hAnsi="Times New Roman"/>
          <w:color w:val="000000"/>
          <w:sz w:val="20"/>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Preferred Stock equal to the number of shares of Series B Preferred Stock submitted for conversion or deliver to such Holder the number of shares of Common Stock that would have been issued if the Corporation had timely complied with its delivery requirements under </w:t>
      </w:r>
      <w:r>
        <w:rPr>
          <w:rFonts w:ascii="Times New Roman" w:hAnsi="Times New Roman"/>
          <w:color w:val="000000"/>
          <w:sz w:val="20"/>
          <w:u w:val="single"/>
        </w:rPr>
        <w:t>Section 6.5.1</w:t>
      </w:r>
      <w:r>
        <w:rPr>
          <w:rFonts w:ascii="Times New Roman" w:hAnsi="Times New Roman"/>
          <w:color w:val="000000"/>
          <w:sz w:val="20"/>
        </w:rPr>
        <w:t xml:space="preserve">. For example, if a Holder purchases shares of Common Stock having a total purchase price of $11,000 to cover a Buy-In with respect to an attempted conversion of shares of Series B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Preferred Stock as required pursuant to the terms hereof or the cash settlement remedy set forth in </w:t>
      </w:r>
      <w:r>
        <w:rPr>
          <w:rFonts w:ascii="Times New Roman" w:hAnsi="Times New Roman"/>
          <w:color w:val="000000"/>
          <w:sz w:val="20"/>
          <w:u w:val="single"/>
        </w:rPr>
        <w:t>Section 6.5.3</w:t>
      </w:r>
      <w:r>
        <w:rPr>
          <w:rFonts w:ascii="Times New Roman" w:hAnsi="Times New Roman"/>
          <w:color w:val="000000"/>
          <w:sz w:val="20"/>
        </w:rPr>
        <w:t xml:space="preserve">; provided, however, that the Holder shall not be entitled to both (i) require the reissuance of the shares of Series B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color w:val="000000"/>
          <w:sz w:val="20"/>
          <w:u w:val="single"/>
        </w:rPr>
        <w:t>Section 6.5.1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6.5.5          </w:t>
      </w:r>
      <w:r>
        <w:rPr>
          <w:rFonts w:ascii="Times New Roman" w:hAnsi="Times New Roman"/>
          <w:color w:val="000000"/>
          <w:sz w:val="20"/>
          <w:u w:val="single"/>
        </w:rPr>
        <w:t>Reservation of Shares Issuable Upon Conversion</w:t>
      </w:r>
      <w:r>
        <w:rPr>
          <w:rFonts w:ascii="Times New Roman" w:hAnsi="Times New Roman"/>
          <w:color w:val="000000"/>
          <w:sz w:val="20"/>
        </w:rPr>
        <w:t xml:space="preserve">. The Corporation covenants that at all times it will reserve and keep available out of its authorized and unissued shares of Common Stock for the sole purpose of issuance upon conversion of the Series B Preferred Stock, free from preemptive rights or any other actual contingent purchase rights of Persons other than the Holders of the Series B Preferred Stock, not less than such aggregate number of shares of the Common Stock as shall be issuable (taking into account the adjustments of </w:t>
      </w:r>
      <w:r>
        <w:rPr>
          <w:rFonts w:ascii="Times New Roman" w:hAnsi="Times New Roman"/>
          <w:color w:val="000000"/>
          <w:sz w:val="20"/>
          <w:u w:val="single"/>
        </w:rPr>
        <w:t>Section 7</w:t>
      </w:r>
      <w:r>
        <w:rPr>
          <w:rFonts w:ascii="Times New Roman" w:hAnsi="Times New Roman"/>
          <w:color w:val="000000"/>
          <w:sz w:val="20"/>
        </w:rPr>
        <w:t>) upon the conversion of all outstanding shares of Series B Preferred Stock. The Corporation covenants that all shares of Common Stock that shall be so issuable shall, upon issue, be duly authorized, validly issued, fully paid and Partial-assessable.</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6.5.6          </w:t>
      </w:r>
      <w:r>
        <w:rPr>
          <w:rFonts w:ascii="Times New Roman" w:hAnsi="Times New Roman"/>
          <w:color w:val="000000"/>
          <w:sz w:val="20"/>
          <w:u w:val="single"/>
        </w:rPr>
        <w:t>Fractional Shares</w:t>
      </w:r>
      <w:r>
        <w:rPr>
          <w:rFonts w:ascii="Times New Roman" w:hAnsi="Times New Roman"/>
          <w:color w:val="000000"/>
          <w:sz w:val="20"/>
        </w:rPr>
        <w:t>. No fractional shares of Common Stock shall be issued upon conversion of the Series B Preferred Stock, no certificates or scrip for any such fractional shares shall be issued and no cash shall be paid for any such fractional shares. Any fractional shares of Common Stock that a Holder of Series B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Preferred Stock the Holder seeks to convert into Common Stock and the aggregate number of shares of Common Stock issuable upon such conversion.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6.5.7          </w:t>
      </w:r>
      <w:r>
        <w:rPr>
          <w:rFonts w:ascii="Times New Roman" w:hAnsi="Times New Roman"/>
          <w:color w:val="000000"/>
          <w:sz w:val="20"/>
          <w:u w:val="single"/>
        </w:rPr>
        <w:t>Transfer Taxes</w:t>
      </w:r>
      <w:r>
        <w:rPr>
          <w:rFonts w:ascii="Times New Roman" w:hAnsi="Times New Roman"/>
          <w:color w:val="000000"/>
          <w:sz w:val="20"/>
        </w:rPr>
        <w:t>. The issuance of certificates for shares of the Common Stock upon conversion of the Series B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6.6           </w:t>
      </w:r>
      <w:r>
        <w:rPr>
          <w:rFonts w:ascii="Times New Roman" w:hAnsi="Times New Roman"/>
          <w:color w:val="000000"/>
          <w:sz w:val="20"/>
          <w:u w:val="single"/>
        </w:rPr>
        <w:t>Status as Stockholder</w:t>
      </w:r>
      <w:r>
        <w:rPr>
          <w:rFonts w:ascii="Times New Roman" w:hAnsi="Times New Roman"/>
          <w:color w:val="000000"/>
          <w:sz w:val="20"/>
        </w:rPr>
        <w:t>.  Upon each Conversion Date, (i) the shares of Series B Preferred Stock being converted shall be deemed converted into shares of Common Stock and (ii) the Holder’s rights as a holder of such converted shares of Series B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B Preferred Stock.  In no event shall the Series B Preferred Stock convert into shares of Common Stock prior to the Stockholder Approval.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7.1          </w:t>
      </w:r>
      <w:r>
        <w:rPr>
          <w:rFonts w:ascii="Times New Roman" w:hAnsi="Times New Roman"/>
          <w:color w:val="000000"/>
          <w:sz w:val="20"/>
          <w:u w:val="single"/>
        </w:rPr>
        <w:t>Stock Dividends and Stock Splits</w:t>
      </w:r>
      <w:r>
        <w:rPr>
          <w:rFonts w:ascii="Times New Roman" w:hAnsi="Times New Roman"/>
          <w:color w:val="000000"/>
          <w:sz w:val="20"/>
        </w:rPr>
        <w:t xml:space="preserve">.  If the Corporation, at any time while this Series B Preferred Stock is outstanding: (A) pays a stock dividend or otherwise makes a distribution or distributions payable in shares of Common Stock (which, for avoidance of doubt, shall not include any shares of Common Stock issued by the Corporation upon conversion of this Series B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color w:val="000000"/>
          <w:sz w:val="20"/>
          <w:u w:val="single"/>
        </w:rPr>
        <w:t>Section 7.1</w:t>
      </w:r>
      <w:r>
        <w:rPr>
          <w:rFonts w:ascii="Times New Roman" w:hAnsi="Times New Roman"/>
          <w:color w:val="000000"/>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7.2          </w:t>
      </w:r>
      <w:r>
        <w:rPr>
          <w:rFonts w:ascii="Times New Roman" w:hAnsi="Times New Roman"/>
          <w:color w:val="000000"/>
          <w:sz w:val="20"/>
          <w:u w:val="single"/>
        </w:rPr>
        <w:t>Fundamental Transaction</w:t>
      </w:r>
      <w:r>
        <w:rPr>
          <w:rFonts w:ascii="Times New Roman" w:hAnsi="Times New Roman"/>
          <w:color w:val="000000"/>
          <w:sz w:val="20"/>
        </w:rPr>
        <w:t xml:space="preserve">.  If, at any time while this Series B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hAnsi="Times New Roman"/>
          <w:color w:val="000000"/>
          <w:sz w:val="20"/>
          <w:u w:val="single"/>
        </w:rPr>
        <w:t>Section 7.1</w:t>
      </w:r>
      <w:r>
        <w:rPr>
          <w:rFonts w:ascii="Times New Roman" w:hAnsi="Times New Roman"/>
          <w:color w:val="000000"/>
          <w:sz w:val="20"/>
        </w:rPr>
        <w:t>) to which the Common Stock is effectively converted into or exchanged for other securities, cash or property (in any such case, a “</w:t>
      </w:r>
      <w:r>
        <w:rPr>
          <w:rFonts w:ascii="Times New Roman" w:hAnsi="Times New Roman"/>
          <w:b/>
          <w:i/>
          <w:color w:val="000000"/>
          <w:sz w:val="20"/>
        </w:rPr>
        <w:t>Fundamental Transaction</w:t>
      </w:r>
      <w:r>
        <w:rPr>
          <w:rFonts w:ascii="Times New Roman" w:hAnsi="Times New Roman"/>
          <w:color w:val="000000"/>
          <w:sz w:val="20"/>
        </w:rPr>
        <w:t>”), then, upon any subsequent conversion of this Series B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color w:val="000000"/>
          <w:sz w:val="20"/>
        </w:rPr>
        <w:t>Alternate Consideration</w:t>
      </w:r>
      <w:r>
        <w:rPr>
          <w:rFonts w:ascii="Times New Roman" w:hAnsi="Times New Roman"/>
          <w:color w:val="000000"/>
          <w:sz w:val="20"/>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color w:val="000000"/>
          <w:sz w:val="20"/>
          <w:u w:val="single"/>
        </w:rPr>
        <w:t>Section 7.2</w:t>
      </w:r>
      <w:r>
        <w:rPr>
          <w:rFonts w:ascii="Times New Roman" w:hAnsi="Times New Roman"/>
          <w:color w:val="000000"/>
          <w:sz w:val="20"/>
        </w:rPr>
        <w:t xml:space="preserve"> and ensuring that this Series B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7.3          </w:t>
      </w:r>
      <w:r>
        <w:rPr>
          <w:rFonts w:ascii="Times New Roman" w:hAnsi="Times New Roman"/>
          <w:color w:val="000000"/>
          <w:sz w:val="20"/>
          <w:u w:val="single"/>
        </w:rPr>
        <w:t>Calculations</w:t>
      </w:r>
      <w:r>
        <w:rPr>
          <w:rFonts w:ascii="Times New Roman" w:hAnsi="Times New Roman"/>
          <w:color w:val="000000"/>
          <w:sz w:val="20"/>
        </w:rPr>
        <w:t xml:space="preserve">.  All calculations under this </w:t>
      </w:r>
      <w:r>
        <w:rPr>
          <w:rFonts w:ascii="Times New Roman" w:hAnsi="Times New Roman"/>
          <w:color w:val="000000"/>
          <w:sz w:val="20"/>
          <w:u w:val="single"/>
        </w:rPr>
        <w:t>Section 7</w:t>
      </w:r>
      <w:r>
        <w:rPr>
          <w:rFonts w:ascii="Times New Roman" w:hAnsi="Times New Roman"/>
          <w:color w:val="000000"/>
          <w:sz w:val="20"/>
        </w:rPr>
        <w:t xml:space="preserve"> shall be made to the nearest cent or the nearest 1/100th of a share, as the case may be. For purposes of this </w:t>
      </w:r>
      <w:r>
        <w:rPr>
          <w:rFonts w:ascii="Times New Roman" w:hAnsi="Times New Roman"/>
          <w:color w:val="000000"/>
          <w:sz w:val="20"/>
          <w:u w:val="single"/>
        </w:rPr>
        <w:t>Section 7</w:t>
      </w:r>
      <w:r>
        <w:rPr>
          <w:rFonts w:ascii="Times New Roman" w:hAnsi="Times New Roman"/>
          <w:color w:val="000000"/>
          <w:sz w:val="20"/>
        </w:rPr>
        <w:t>,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8.          </w:t>
      </w:r>
      <w:r>
        <w:rPr>
          <w:rFonts w:ascii="Times New Roman" w:hAnsi="Times New Roman"/>
          <w:color w:val="000000"/>
          <w:sz w:val="20"/>
          <w:u w:val="single"/>
        </w:rPr>
        <w:t>Redemption</w:t>
      </w:r>
      <w:r>
        <w:rPr>
          <w:rFonts w:ascii="Times New Roman" w:hAnsi="Times New Roman"/>
          <w:color w:val="000000"/>
          <w:sz w:val="20"/>
        </w:rPr>
        <w:t xml:space="preserve">.  The shares of Series B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color w:val="000000"/>
          <w:sz w:val="20"/>
          <w:u w:val="single"/>
        </w:rPr>
        <w:t>Section 6.5.3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Transfer</w:t>
      </w:r>
      <w:r>
        <w:rPr>
          <w:rFonts w:ascii="Times New Roman" w:hAnsi="Times New Roman"/>
          <w:color w:val="000000"/>
          <w:sz w:val="20"/>
        </w:rPr>
        <w:t>. The shares of Series B Preferred Stock, together with the accompanying rights set forth herein, shall not be transferable, assignable, pledged or otherwise encumbered by the holder thereof without the prior written consent of the Board of Directors of the Corporation, which consent may be withheld in its sole discretion. Any attempted transfer in violation of this provision shall be null and void ab initio.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10.          </w:t>
      </w:r>
      <w:r>
        <w:rPr>
          <w:rFonts w:ascii="Times New Roman" w:hAnsi="Times New Roman"/>
          <w:color w:val="000000"/>
          <w:sz w:val="20"/>
          <w:u w:val="single"/>
        </w:rPr>
        <w:t>Series B Preferred Stock Register</w:t>
      </w:r>
      <w:r>
        <w:rPr>
          <w:rFonts w:ascii="Times New Roman" w:hAnsi="Times New Roman"/>
          <w:color w:val="000000"/>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color w:val="000000"/>
          <w:sz w:val="20"/>
          <w:u w:val="single"/>
        </w:rPr>
        <w:t>Section 11</w:t>
      </w:r>
      <w:r>
        <w:rPr>
          <w:rFonts w:ascii="Times New Roman" w:hAnsi="Times New Roman"/>
          <w:color w:val="000000"/>
          <w:sz w:val="20"/>
        </w:rPr>
        <w:t>), a register for the Series B Preferred Stock, in which the Corporation shall record (i) the name, address, and electronic mail address of each holder in whose name the shares of Series B Preferred Stock have been issued and (ii) the name, address, and electronic mail address of each transferee of any shares of Series B Preferred Stock. The Corporation may deem and treat the registered Holder of shares of Series B Preferred Stock as the absolute owner thereof for the purpose of any conversion thereof and for all other purposes. The Corporation shall keep the register open and available at all times during business hours for inspection by any holder of Series B Preferred Stock or his, her or its legal representatives.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11.          </w:t>
      </w:r>
      <w:r>
        <w:rPr>
          <w:rFonts w:ascii="Times New Roman" w:hAnsi="Times New Roman"/>
          <w:color w:val="000000"/>
          <w:sz w:val="20"/>
          <w:u w:val="single"/>
        </w:rPr>
        <w:t>Notices</w:t>
      </w:r>
      <w:r>
        <w:rPr>
          <w:rFonts w:ascii="Times New Roman" w:hAnsi="Times New Roman"/>
          <w:color w:val="000000"/>
          <w:sz w:val="20"/>
        </w:rPr>
        <w:t>.  Any notice required or permitted by the provisions of this Certificate of Designation to be given to a Holder of shares of Series B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12.          </w:t>
      </w:r>
      <w:r>
        <w:rPr>
          <w:rFonts w:ascii="Times New Roman" w:hAnsi="Times New Roman"/>
          <w:color w:val="000000"/>
          <w:sz w:val="20"/>
          <w:u w:val="single"/>
        </w:rPr>
        <w:t>Book-Entry; Certificates</w:t>
      </w:r>
      <w:r>
        <w:rPr>
          <w:rFonts w:ascii="Times New Roman" w:hAnsi="Times New Roman"/>
          <w:color w:val="000000"/>
          <w:sz w:val="20"/>
        </w:rPr>
        <w:t>. The Series B Preferred Stock will be issued in book-entry form; provided that, if a Holder requests that such Holder’s shares of Series B Preferred Stock be issued in certificated form, the Corporation will instead issue a stock certificate to such Holder representing such Holder’s shares of Series B Preferred Stock. To the extent that any shares of Series B Preferred Stock are issued in book-entry form, references herein to “certificates” shall instead refer to the book-entry notation relating to such shares.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13.          </w:t>
      </w:r>
      <w:r>
        <w:rPr>
          <w:rFonts w:ascii="Times New Roman" w:hAnsi="Times New Roman"/>
          <w:color w:val="000000"/>
          <w:sz w:val="20"/>
          <w:u w:val="single"/>
        </w:rPr>
        <w:t>Waiver</w:t>
      </w:r>
      <w:r>
        <w:rPr>
          <w:rFonts w:ascii="Times New Roman" w:hAnsi="Times New Roman"/>
          <w:color w:val="000000"/>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B Preferred Stock granted hereunder may be waived as to all shares of Series B Preferred Stock (and the Holders thereof) upon the written consent of the Holders of not less than a majority of the shares of Series B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14.          </w:t>
      </w:r>
      <w:r>
        <w:rPr>
          <w:rFonts w:ascii="Times New Roman" w:hAnsi="Times New Roman"/>
          <w:color w:val="000000"/>
          <w:sz w:val="20"/>
          <w:u w:val="single"/>
        </w:rPr>
        <w:t>Severability</w:t>
      </w:r>
      <w:r>
        <w:rPr>
          <w:rFonts w:ascii="Times New Roman" w:hAnsi="Times New Roman"/>
          <w:color w:val="000000"/>
          <w:sz w:val="20"/>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15.          </w:t>
      </w:r>
      <w:r>
        <w:rPr>
          <w:rFonts w:ascii="Times New Roman" w:hAnsi="Times New Roman"/>
          <w:color w:val="000000"/>
          <w:sz w:val="20"/>
          <w:u w:val="single"/>
        </w:rPr>
        <w:t>Status of Converted Series B Preferred Stock</w:t>
      </w:r>
      <w:r>
        <w:rPr>
          <w:rFonts w:ascii="Times New Roman" w:hAnsi="Times New Roman"/>
          <w:color w:val="000000"/>
          <w:sz w:val="20"/>
        </w:rPr>
        <w:t>.  If any shares of Series B Preferred Stock shall be converted or redeemed by the Corporation, such shares shall, to the fullest extent permitted by applicable law, be retired and cancelled upon such acquisition, and shall not be reissued as a share of Series B Preferred Stock.  Any share of Series B Preferred Stock so acquired shall, upon its retirement and cancellation, and upon the taking of any action required by applicable law, resume the status of authorized but unissued shares of preferred stock and shall no longer be designated as Series B Preferred Stock.</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Gyre Therapeutics, Inc. has caused this Certificate of Designation of Preferences, Rights and Limitations of Series B Convertible Preferred Stock to be duly executed by its Chief Financial Officer on May 4,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543f98e0e5a0453db979883f7d13ea76"/>
      <w:bookmarkStart w:id="67" w:name="z543f98e0e5a0453db979883f7d13ea76"/>
      <w:bookmarkEnd w:id="67"/>
    </w:p>
    <w:tbl>
      <w:tblPr>
        <w:tblW w:w="3408" w:type="dxa"/>
        <w:jc w:val="left"/>
        <w:tblInd w:w="0" w:type="dxa"/>
        <w:tblLayout w:type="fixed"/>
        <w:tblCellMar>
          <w:top w:w="0" w:type="dxa"/>
          <w:left w:w="0" w:type="dxa"/>
          <w:bottom w:w="0" w:type="dxa"/>
          <w:right w:w="0" w:type="dxa"/>
        </w:tblCellMar>
      </w:tblPr>
      <w:tblGrid>
        <w:gridCol w:w="60"/>
        <w:gridCol w:w="745"/>
        <w:gridCol w:w="2535"/>
        <w:gridCol w:w="68"/>
      </w:tblGrid>
      <w:tr>
        <w:trPr/>
        <w:tc>
          <w:tcPr>
            <w:tcW w:w="60" w:type="dxa"/>
            <w:tcBorders/>
            <w:vAlign w:val="center"/>
          </w:tcPr>
          <w:p>
            <w:pPr>
              <w:pStyle w:val="TableContents"/>
              <w:bidi w:val="0"/>
              <w:spacing w:before="0" w:after="283"/>
              <w:jc w:val="left"/>
              <w:rPr/>
            </w:pPr>
            <w:r>
              <w:rPr/>
              <w:t> </w:t>
            </w:r>
          </w:p>
        </w:tc>
        <w:tc>
          <w:tcPr>
            <w:tcW w:w="3348" w:type="dxa"/>
            <w:gridSpan w:val="3"/>
            <w:tcBorders/>
            <w:vAlign w:val="center"/>
          </w:tcPr>
          <w:p>
            <w:pPr>
              <w:pStyle w:val="TableContents"/>
              <w:bidi w:val="0"/>
              <w:spacing w:before="0" w:after="0"/>
              <w:jc w:val="left"/>
              <w:rPr>
                <w:b/>
              </w:rPr>
            </w:pPr>
            <w:r>
              <w:rPr>
                <w:b/>
              </w:rPr>
              <w:t>GYRE THERAPEUTICS, INC.</w:t>
            </w:r>
          </w:p>
        </w:tc>
      </w:tr>
      <w:tr>
        <w:trPr/>
        <w:tc>
          <w:tcPr>
            <w:tcW w:w="6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0"/>
              <w:jc w:val="left"/>
              <w:rPr/>
            </w:pPr>
            <w:r>
              <w:rPr/>
              <w:t>By:</w:t>
            </w:r>
          </w:p>
        </w:tc>
        <w:tc>
          <w:tcPr>
            <w:tcW w:w="2535" w:type="dxa"/>
            <w:tcBorders>
              <w:bottom w:val="single" w:sz="12" w:space="0" w:color="000000"/>
            </w:tcBorders>
            <w:tcMar>
              <w:bottom w:w="28" w:type="dxa"/>
            </w:tcMar>
            <w:vAlign w:val="center"/>
          </w:tcPr>
          <w:p>
            <w:pPr>
              <w:pStyle w:val="TableContents"/>
              <w:bidi w:val="0"/>
              <w:spacing w:before="0" w:after="0"/>
              <w:jc w:val="left"/>
              <w:rPr/>
            </w:pPr>
            <w:r>
              <w:rPr/>
              <w:t>/s/ Ruoyu Chen</w:t>
            </w:r>
          </w:p>
        </w:tc>
        <w:tc>
          <w:tcPr>
            <w:tcW w:w="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0"/>
              <w:jc w:val="left"/>
              <w:rPr/>
            </w:pPr>
            <w:r>
              <w:rPr/>
              <w:t>Name:</w:t>
            </w:r>
          </w:p>
        </w:tc>
        <w:tc>
          <w:tcPr>
            <w:tcW w:w="2535" w:type="dxa"/>
            <w:tcBorders>
              <w:bottom w:val="single" w:sz="12" w:space="0" w:color="000000"/>
            </w:tcBorders>
            <w:tcMar>
              <w:bottom w:w="28" w:type="dxa"/>
            </w:tcMar>
            <w:vAlign w:val="center"/>
          </w:tcPr>
          <w:p>
            <w:pPr>
              <w:pStyle w:val="TableContents"/>
              <w:bidi w:val="0"/>
              <w:spacing w:before="0" w:after="0"/>
              <w:jc w:val="left"/>
              <w:rPr/>
            </w:pPr>
            <w:r>
              <w:rPr/>
              <w:t>Ruoyu Chen</w:t>
            </w:r>
          </w:p>
        </w:tc>
        <w:tc>
          <w:tcPr>
            <w:tcW w:w="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0"/>
              <w:jc w:val="left"/>
              <w:rPr/>
            </w:pPr>
            <w:r>
              <w:rPr/>
              <w:t>Title:</w:t>
            </w:r>
          </w:p>
        </w:tc>
        <w:tc>
          <w:tcPr>
            <w:tcW w:w="2535" w:type="dxa"/>
            <w:tcBorders>
              <w:bottom w:val="single" w:sz="12" w:space="0" w:color="000000"/>
            </w:tcBorders>
            <w:tcMar>
              <w:bottom w:w="28" w:type="dxa"/>
            </w:tcMar>
            <w:vAlign w:val="center"/>
          </w:tcPr>
          <w:p>
            <w:pPr>
              <w:pStyle w:val="TableContents"/>
              <w:bidi w:val="0"/>
              <w:spacing w:before="0" w:after="0"/>
              <w:jc w:val="left"/>
              <w:rPr/>
            </w:pPr>
            <w:r>
              <w:rPr/>
              <w:t>Chief Financial Officer</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NOTICE OF CONVERSION</w:t>
        <w:br/>
        <w:br/>
        <w:t>(TO BE EXECUTED BY THE REGISTERED HOLDER IN ORDER TO CONVERT SHARES OF SERIES B CONVERTIBLE PREFERRED STOCK)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Holder hereby irrevocably elects to convert the number of shares of Series B Preferred Stock indicated below, represented in book-entry form, into shares of common stock, par value $0.001 per share (the “</w:t>
      </w:r>
      <w:r>
        <w:rPr>
          <w:rFonts w:ascii="Times New Roman" w:hAnsi="Times New Roman"/>
          <w:b/>
          <w:i/>
          <w:color w:val="000000"/>
          <w:sz w:val="20"/>
        </w:rPr>
        <w:t>Common Stock</w:t>
      </w:r>
      <w:r>
        <w:rPr>
          <w:rFonts w:ascii="Times New Roman" w:hAnsi="Times New Roman"/>
          <w:color w:val="000000"/>
          <w:sz w:val="20"/>
        </w:rPr>
        <w:t>”), of Gyre Therapeutics, Inc., a Delaware corporation (the “</w:t>
      </w:r>
      <w:r>
        <w:rPr>
          <w:rFonts w:ascii="Times New Roman" w:hAnsi="Times New Roman"/>
          <w:b/>
          <w:i/>
          <w:color w:val="000000"/>
          <w:sz w:val="20"/>
        </w:rPr>
        <w:t>Corporation</w:t>
      </w:r>
      <w:r>
        <w:rPr>
          <w:rFonts w:ascii="Times New Roman" w:hAnsi="Times New Roman"/>
          <w:color w:val="000000"/>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B Convertible Preferred Stock (the “</w:t>
      </w:r>
      <w:r>
        <w:rPr>
          <w:rFonts w:ascii="Times New Roman" w:hAnsi="Times New Roman"/>
          <w:b/>
          <w:i/>
          <w:color w:val="000000"/>
          <w:sz w:val="20"/>
        </w:rPr>
        <w:t>Certificate of Designation</w:t>
      </w:r>
      <w:r>
        <w:rPr>
          <w:rFonts w:ascii="Times New Roman" w:hAnsi="Times New Roman"/>
          <w:color w:val="000000"/>
          <w:sz w:val="20"/>
        </w:rPr>
        <w:t>”) filed by the Corporation with the Secretary of State of the State of Delaware on May 4,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the date hereof, the number of shares of Common Stock beneficially owned by the undersigned Holder (together with such Holder’s Attribution Parties), including the number of shares of Common Stock issuable upon conversion of the Series B Preferred Stock subject to this Notice of Conversion, but excluding the number of shares of Common Stock which are issuable upon (A) conversion of the remaining, unconverted Series B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0"/>
          <w:u w:val="single"/>
        </w:rPr>
        <w:t>Section 6.4</w:t>
      </w:r>
      <w:r>
        <w:rPr>
          <w:rFonts w:ascii="Times New Roman" w:hAnsi="Times New Roman"/>
          <w:color w:val="000000"/>
          <w:sz w:val="20"/>
        </w:rPr>
        <w:t xml:space="preserve"> of the Certificate of Designation,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CONVERSION CALCULATIONS: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49ebeadf62174d1886a93006ec8143fa"/>
      <w:bookmarkStart w:id="69" w:name="z49ebeadf62174d1886a93006ec8143fa"/>
      <w:bookmarkEnd w:id="69"/>
    </w:p>
    <w:tbl>
      <w:tblPr>
        <w:tblW w:w="7160" w:type="dxa"/>
        <w:jc w:val="left"/>
        <w:tblInd w:w="0" w:type="dxa"/>
        <w:tblLayout w:type="fixed"/>
        <w:tblCellMar>
          <w:top w:w="0" w:type="dxa"/>
          <w:left w:w="0" w:type="dxa"/>
          <w:bottom w:w="0" w:type="dxa"/>
          <w:right w:w="0" w:type="dxa"/>
        </w:tblCellMar>
      </w:tblPr>
      <w:tblGrid>
        <w:gridCol w:w="7025"/>
        <w:gridCol w:w="60"/>
        <w:gridCol w:w="75"/>
      </w:tblGrid>
      <w:tr>
        <w:trPr/>
        <w:tc>
          <w:tcPr>
            <w:tcW w:w="7025" w:type="dxa"/>
            <w:tcBorders/>
            <w:vAlign w:val="center"/>
          </w:tcPr>
          <w:p>
            <w:pPr>
              <w:pStyle w:val="TableContents"/>
              <w:bidi w:val="0"/>
              <w:spacing w:before="0" w:after="0"/>
              <w:jc w:val="left"/>
              <w:rPr/>
            </w:pPr>
            <w:r>
              <w:rPr/>
              <w:t>Date to Effect Conversion:</w:t>
            </w:r>
          </w:p>
        </w:tc>
        <w:tc>
          <w:tcPr>
            <w:tcW w:w="60" w:type="dxa"/>
            <w:tcBorders/>
            <w:vAlign w:val="center"/>
          </w:tcPr>
          <w:p>
            <w:pPr>
              <w:pStyle w:val="TableContents"/>
              <w:bidi w:val="0"/>
              <w:spacing w:before="0" w:after="0"/>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0"/>
              <w:jc w:val="left"/>
              <w:rPr/>
            </w:pPr>
            <w:r>
              <w:rPr/>
              <w:t>Number of shares of Series B Preferred Stock owned prior to Conversion:</w:t>
            </w:r>
          </w:p>
        </w:tc>
        <w:tc>
          <w:tcPr>
            <w:tcW w:w="60" w:type="dxa"/>
            <w:tcBorders/>
            <w:vAlign w:val="center"/>
          </w:tcPr>
          <w:p>
            <w:pPr>
              <w:pStyle w:val="TableContents"/>
              <w:bidi w:val="0"/>
              <w:spacing w:before="0" w:after="0"/>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0"/>
              <w:jc w:val="left"/>
              <w:rPr/>
            </w:pPr>
            <w:r>
              <w:rPr/>
              <w:t>Number of shares of Series B Preferred Stock to be Converted:</w:t>
            </w:r>
          </w:p>
        </w:tc>
        <w:tc>
          <w:tcPr>
            <w:tcW w:w="60" w:type="dxa"/>
            <w:tcBorders/>
            <w:vAlign w:val="center"/>
          </w:tcPr>
          <w:p>
            <w:pPr>
              <w:pStyle w:val="TableContents"/>
              <w:bidi w:val="0"/>
              <w:spacing w:before="0" w:after="0"/>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0"/>
              <w:jc w:val="left"/>
              <w:rPr/>
            </w:pPr>
            <w:r>
              <w:rPr/>
              <w:t>Number of shares of Common Stock to be Issued:</w:t>
            </w:r>
          </w:p>
        </w:tc>
        <w:tc>
          <w:tcPr>
            <w:tcW w:w="60" w:type="dxa"/>
            <w:tcBorders/>
            <w:vAlign w:val="center"/>
          </w:tcPr>
          <w:p>
            <w:pPr>
              <w:pStyle w:val="TableContents"/>
              <w:bidi w:val="0"/>
              <w:spacing w:before="0" w:after="0"/>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0"/>
              <w:jc w:val="left"/>
              <w:rPr/>
            </w:pPr>
            <w:r>
              <w:rPr/>
              <w:t>Address for delivery of physical certificates:</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DWAC Delivery, please provide the following: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1ccb2c9e245d4eb791094946110e0826"/>
      <w:bookmarkStart w:id="71" w:name="z1ccb2c9e245d4eb791094946110e0826"/>
      <w:bookmarkEnd w:id="71"/>
    </w:p>
    <w:tbl>
      <w:tblPr>
        <w:tblW w:w="1430" w:type="dxa"/>
        <w:jc w:val="left"/>
        <w:tblInd w:w="0" w:type="dxa"/>
        <w:tblLayout w:type="fixed"/>
        <w:tblCellMar>
          <w:top w:w="0" w:type="dxa"/>
          <w:left w:w="0" w:type="dxa"/>
          <w:bottom w:w="0" w:type="dxa"/>
          <w:right w:w="0" w:type="dxa"/>
        </w:tblCellMar>
      </w:tblPr>
      <w:tblGrid>
        <w:gridCol w:w="1245"/>
        <w:gridCol w:w="65"/>
        <w:gridCol w:w="60"/>
        <w:gridCol w:w="60"/>
      </w:tblGrid>
      <w:tr>
        <w:trPr/>
        <w:tc>
          <w:tcPr>
            <w:tcW w:w="1245" w:type="dxa"/>
            <w:tcBorders/>
            <w:vAlign w:val="center"/>
          </w:tcPr>
          <w:p>
            <w:pPr>
              <w:pStyle w:val="TableContents"/>
              <w:bidi w:val="0"/>
              <w:spacing w:before="0" w:after="0"/>
              <w:ind w:left="720" w:right="0" w:hanging="0"/>
              <w:jc w:val="left"/>
              <w:rPr/>
            </w:pPr>
            <w:r>
              <w:rPr/>
              <w:t>Broker No.:</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gridSpan w:val="2"/>
            <w:tcBorders/>
            <w:vAlign w:val="center"/>
          </w:tcPr>
          <w:p>
            <w:pPr>
              <w:pStyle w:val="TableContents"/>
              <w:bidi w:val="0"/>
              <w:spacing w:before="0" w:after="0"/>
              <w:ind w:left="720" w:right="0" w:hanging="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gridSpan w:val="2"/>
            <w:tcBorders/>
            <w:vAlign w:val="center"/>
          </w:tcPr>
          <w:p>
            <w:pPr>
              <w:pStyle w:val="TableContents"/>
              <w:bidi w:val="0"/>
              <w:spacing w:before="0" w:after="0"/>
              <w:ind w:left="720" w:right="0" w:hanging="0"/>
              <w:jc w:val="left"/>
              <w:rPr/>
            </w:pPr>
            <w:r>
              <w:rPr/>
              <w:t>Account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108e0151e4c04a19ab87cb05fb9faf84"/>
      <w:bookmarkStart w:id="73" w:name="z108e0151e4c04a19ab87cb05fb9faf84"/>
      <w:bookmarkEnd w:id="73"/>
    </w:p>
    <w:tbl>
      <w:tblPr>
        <w:tblW w:w="1294" w:type="dxa"/>
        <w:jc w:val="left"/>
        <w:tblInd w:w="0" w:type="dxa"/>
        <w:tblLayout w:type="fixed"/>
        <w:tblCellMar>
          <w:top w:w="0" w:type="dxa"/>
          <w:left w:w="0" w:type="dxa"/>
          <w:bottom w:w="0" w:type="dxa"/>
          <w:right w:w="0" w:type="dxa"/>
        </w:tblCellMar>
      </w:tblPr>
      <w:tblGrid>
        <w:gridCol w:w="60"/>
        <w:gridCol w:w="738"/>
        <w:gridCol w:w="145"/>
        <w:gridCol w:w="145"/>
        <w:gridCol w:w="146"/>
        <w:gridCol w:w="60"/>
      </w:tblGrid>
      <w:tr>
        <w:trPr/>
        <w:tc>
          <w:tcPr>
            <w:tcW w:w="60" w:type="dxa"/>
            <w:tcBorders/>
            <w:vAlign w:val="center"/>
          </w:tcPr>
          <w:p>
            <w:pPr>
              <w:pStyle w:val="TableContents"/>
              <w:bidi w:val="0"/>
              <w:spacing w:before="0" w:after="283"/>
              <w:jc w:val="left"/>
              <w:rPr/>
            </w:pPr>
            <w:r>
              <w:rPr/>
              <w:t> </w:t>
            </w:r>
          </w:p>
        </w:tc>
        <w:tc>
          <w:tcPr>
            <w:tcW w:w="1174" w:type="dxa"/>
            <w:gridSpan w:val="4"/>
            <w:tcBorders/>
            <w:vAlign w:val="center"/>
          </w:tcPr>
          <w:p>
            <w:pPr>
              <w:pStyle w:val="TableContents"/>
              <w:bidi w:val="0"/>
              <w:spacing w:before="0" w:after="0"/>
              <w:jc w:val="left"/>
              <w:rPr/>
            </w:pPr>
            <w:r>
              <w:rPr/>
              <w:t>[HOLDER]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0"/>
              <w:jc w:val="left"/>
              <w:rPr/>
            </w:pPr>
            <w:r>
              <w:rPr/>
              <w:t>By:</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28" w:type="dxa"/>
            <w:gridSpan w:val="3"/>
            <w:tcBorders/>
            <w:vAlign w:val="center"/>
          </w:tcPr>
          <w:p>
            <w:pPr>
              <w:pStyle w:val="TableContents"/>
              <w:bidi w:val="0"/>
              <w:spacing w:before="0" w:after="0"/>
              <w:jc w:val="left"/>
              <w:rPr/>
            </w:pPr>
            <w:r>
              <w:rPr/>
              <w:t>Name:</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83" w:type="dxa"/>
            <w:gridSpan w:val="2"/>
            <w:tcBorders/>
            <w:vAlign w:val="center"/>
          </w:tcPr>
          <w:p>
            <w:pPr>
              <w:pStyle w:val="TableContents"/>
              <w:bidi w:val="0"/>
              <w:spacing w:before="0" w:after="0"/>
              <w:jc w:val="left"/>
              <w:rPr/>
            </w:pPr>
            <w:r>
              <w:rPr/>
              <w:t>Title:</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4" w:name="ef20075357_ex5-1.htm"/>
      <w:bookmarkStart w:id="75" w:name="ksef20075357_ex51"/>
      <w:bookmarkStart w:id="76" w:name="ef20075357_ex5-1.htm"/>
      <w:bookmarkStart w:id="77" w:name="ksef20075357_ex51"/>
      <w:bookmarkEnd w:id="76"/>
      <w:bookmarkEnd w:id="77"/>
      <w:r>
        <w:br w:type="page"/>
      </w:r>
    </w:p>
    <w:p>
      <w:pPr>
        <w:pStyle w:val="Normal"/>
        <w:bidi w:val="0"/>
        <w:spacing w:before="0" w:after="0"/>
        <w:jc w:val="left"/>
        <w:rPr>
          <w:sz w:val="4"/>
          <w:szCs w:val="4"/>
        </w:rPr>
      </w:pPr>
      <w:r>
        <w:rPr>
          <w:sz w:val="4"/>
          <w:szCs w:val="4"/>
        </w:rPr>
      </w:r>
      <w:bookmarkStart w:id="78" w:name="z38a7952340ba4ed2916ceafd46928c75"/>
      <w:bookmarkStart w:id="79" w:name="z38a7952340ba4ed2916ceafd46928c75"/>
      <w:bookmarkEnd w:id="79"/>
    </w:p>
    <w:tbl>
      <w:tblPr>
        <w:tblW w:w="3950" w:type="dxa"/>
        <w:jc w:val="left"/>
        <w:tblInd w:w="0" w:type="dxa"/>
        <w:tblLayout w:type="fixed"/>
        <w:tblCellMar>
          <w:top w:w="0" w:type="dxa"/>
          <w:left w:w="0" w:type="dxa"/>
          <w:bottom w:w="0" w:type="dxa"/>
          <w:right w:w="0" w:type="dxa"/>
        </w:tblCellMar>
      </w:tblPr>
      <w:tblGrid>
        <w:gridCol w:w="2820"/>
        <w:gridCol w:w="1130"/>
      </w:tblGrid>
      <w:tr>
        <w:trPr/>
        <w:tc>
          <w:tcPr>
            <w:tcW w:w="2820" w:type="dxa"/>
            <w:tcBorders/>
            <w:vAlign w:val="center"/>
          </w:tcPr>
          <w:p>
            <w:pPr>
              <w:pStyle w:val="TableContents"/>
              <w:bidi w:val="0"/>
              <w:spacing w:before="0" w:after="283"/>
              <w:jc w:val="left"/>
              <w:rPr/>
            </w:pPr>
            <w:r>
              <w:rPr/>
              <w:drawing>
                <wp:inline distT="0" distB="0" distL="0" distR="0">
                  <wp:extent cx="17907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790700" cy="238125"/>
                          </a:xfrm>
                          <a:prstGeom prst="rect">
                            <a:avLst/>
                          </a:prstGeom>
                        </pic:spPr>
                      </pic:pic>
                    </a:graphicData>
                  </a:graphic>
                </wp:inline>
              </w:drawing>
            </w:r>
          </w:p>
        </w:tc>
        <w:tc>
          <w:tcPr>
            <w:tcW w:w="1130" w:type="dxa"/>
            <w:tcBorders/>
            <w:vAlign w:val="center"/>
          </w:tcPr>
          <w:p>
            <w:pPr>
              <w:pStyle w:val="TableContents"/>
              <w:bidi w:val="0"/>
              <w:spacing w:before="0" w:after="283"/>
              <w:jc w:val="right"/>
              <w:rPr>
                <w:b/>
              </w:rPr>
            </w:pPr>
            <w:r>
              <w:rPr>
                <w:b/>
              </w:rPr>
              <w:t>Exhibit 5.1</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June 9,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Gyre Therapeutics,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12770 High Bluff Drive, Suite 150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San Diego, California 92130</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 w:name="z5a00edc6a0014ea7850e635bc498a67a"/>
      <w:bookmarkStart w:id="81" w:name="z5a00edc6a0014ea7850e635bc498a67a"/>
      <w:bookmarkEnd w:id="81"/>
    </w:p>
    <w:tbl>
      <w:tblPr>
        <w:tblW w:w="2635" w:type="dxa"/>
        <w:jc w:val="left"/>
        <w:tblInd w:w="0" w:type="dxa"/>
        <w:tblLayout w:type="fixed"/>
        <w:tblCellMar>
          <w:top w:w="0" w:type="dxa"/>
          <w:left w:w="0" w:type="dxa"/>
          <w:bottom w:w="0" w:type="dxa"/>
          <w:right w:w="0" w:type="dxa"/>
        </w:tblCellMar>
      </w:tblPr>
      <w:tblGrid>
        <w:gridCol w:w="365"/>
        <w:gridCol w:w="2270"/>
      </w:tblGrid>
      <w:tr>
        <w:trPr/>
        <w:tc>
          <w:tcPr>
            <w:tcW w:w="365" w:type="dxa"/>
            <w:tcBorders/>
            <w:vAlign w:val="center"/>
          </w:tcPr>
          <w:p>
            <w:pPr>
              <w:pStyle w:val="TableContents"/>
              <w:bidi w:val="0"/>
              <w:spacing w:before="0" w:after="283"/>
              <w:jc w:val="left"/>
              <w:rPr>
                <w:color w:val="000000"/>
              </w:rPr>
            </w:pPr>
            <w:r>
              <w:rPr>
                <w:color w:val="000000"/>
              </w:rPr>
              <w:t>Re:</w:t>
            </w:r>
          </w:p>
        </w:tc>
        <w:tc>
          <w:tcPr>
            <w:tcW w:w="2270" w:type="dxa"/>
            <w:tcBorders/>
            <w:vAlign w:val="center"/>
          </w:tcPr>
          <w:p>
            <w:pPr>
              <w:pStyle w:val="TableContents"/>
              <w:bidi w:val="0"/>
              <w:spacing w:before="0" w:after="0"/>
              <w:jc w:val="left"/>
              <w:rPr>
                <w:color w:val="000000"/>
              </w:rPr>
            </w:pPr>
            <w:r>
              <w:rPr>
                <w:color w:val="000000"/>
              </w:rPr>
              <w:t>Gyre Therapeutics, Inc.</w:t>
            </w:r>
          </w:p>
        </w:tc>
      </w:tr>
    </w:tbl>
    <w:p>
      <w:pPr>
        <w:pStyle w:val="TextBody"/>
        <w:bidi w:val="0"/>
        <w:spacing w:before="0" w:after="0"/>
        <w:ind w:left="540" w:right="0" w:hanging="0"/>
        <w:jc w:val="left"/>
        <w:rPr>
          <w:color w:val="000000"/>
        </w:rPr>
      </w:pPr>
      <w:r>
        <w:rPr>
          <w:color w:val="000000"/>
        </w:rPr>
        <w:t> </w:t>
      </w:r>
      <w:r>
        <w:rPr>
          <w:rFonts w:ascii="Times New Roman" w:hAnsi="Times New Roman"/>
          <w:color w:val="000000"/>
          <w:sz w:val="20"/>
        </w:rPr>
        <w:t>Registration Statement on Form S-8</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We have examined the Registration Statement on Form S-8 (the “Registration Statement”) of Gyre Therapeutics, Inc., a Delaware corporation (the “Company”), to be filed with the Securities and Exchange Commission (the “Commission”) pursuant to the Securities Act of 1933, as amended (the “Securities Act”), in connection with the offering by the Company of up to an additional 4,156,800 shares (the “Shares”) of the Company’s common stock, par value $0.001 per share, issuable pursuant to certain equity awards granted and outstanding under the Cullgen Inc. 2018 Stock Incentive Plan (the “Cullgen Plan”) assumed by the Company, together with such outstanding equity awards, in connection with the consummation of the transactions contemplated by that certain Agreement and Plan of Merger and Reorganization dated as of March 2, 2026 between the Company, Cullgen Inc. and Helix Merger Sub Corp.</w:t>
      </w:r>
    </w:p>
    <w:p>
      <w:pPr>
        <w:pStyle w:val="TextBody"/>
        <w:bidi w:val="0"/>
        <w:spacing w:before="0" w:after="0"/>
        <w:jc w:val="left"/>
        <w:rPr>
          <w:color w:val="000000"/>
        </w:rPr>
      </w:pPr>
      <w:r>
        <w:rPr>
          <w:color w:val="000000"/>
        </w:rPr>
        <w:t> </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We have examined the originals, or photostatic or certified copies, of such records of the Company and certificates of officers of the Company and of public officials and such other documents as we have deemed relevant and necessary as the basis for the opinions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Cullgen Plan that would expand, modify or otherwise affect the terms of the Cullgen Plan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pStyle w:val="TextBody"/>
        <w:bidi w:val="0"/>
        <w:spacing w:before="0" w:after="0"/>
        <w:jc w:val="left"/>
        <w:rPr>
          <w:color w:val="000000"/>
        </w:rPr>
      </w:pPr>
      <w:r>
        <w:rPr>
          <w:color w:val="000000"/>
        </w:rPr>
        <w:t> </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Based upon the foregoing examination and in reliance thereon, and subject to the qualifications, assumptions and limitations stated herein and in reliance on the statements of fact contained in the documents that we have examined, we are of the opinion that the Shares, when issued and sold in accordance with the terms set forth in the Cullgen Plan, as applicable, and against payment therefor in accordance with the terms of the form of agreement documenting the awards under which the Shares may be issued, and when the Registration Statement has become effective under the Securities Act, will be validly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We render no opinion herein as to matters involving the laws of any jurisdiction other than the Delaware General Corporation Law (the “DGCL”). This opinion is limited to the effect of the current state of the DGCL and the facts as they currently exist. We assume no obligation to revise or supplement this opinion in the event of future changes in such laws or the interpretations thereof or such facts. We express no opinion regarding any state securities laws or regulations.</w:t>
      </w:r>
    </w:p>
    <w:p>
      <w:pPr>
        <w:pStyle w:val="TextBody"/>
        <w:bidi w:val="0"/>
        <w:spacing w:before="0" w:after="0"/>
        <w:jc w:val="left"/>
        <w:rPr>
          <w:color w:val="000000"/>
        </w:rPr>
      </w:pPr>
      <w:r>
        <w:rPr>
          <w:color w:val="000000"/>
        </w:rPr>
        <w:t> </w:t>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43" w:right="0" w:hanging="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Gibson, Dunn &amp; Crutcher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16"/>
        </w:rPr>
      </w:pPr>
      <w:bookmarkStart w:id="82" w:name="z_mps56267714000000000000000865300000000"/>
      <w:bookmarkEnd w:id="82"/>
      <w:r>
        <w:rPr>
          <w:rFonts w:ascii="Times New Roman" w:hAnsi="Times New Roman"/>
          <w:b/>
          <w:color w:val="000000"/>
          <w:sz w:val="20"/>
        </w:rPr>
        <w:t>Gibson, Dunn &amp; Crutcher LLP</w:t>
      </w:r>
      <w:r>
        <w:rPr>
          <w:rFonts w:ascii="Times New Roman" w:hAnsi="Times New Roman"/>
          <w:color w:val="000000"/>
          <w:sz w:val="20"/>
        </w:rPr>
        <w:br/>
        <w:t>2000 Avenue of the Stars Suite 1200N  |  Los Angeles, CA 90067-4700  |  T: 310.552.8500  |  F: 310.552.7000  |  gibsondunn.com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3" w:name="ef20075357_ex23-1.htm"/>
      <w:bookmarkStart w:id="84" w:name="ksef20075357_ex231"/>
      <w:bookmarkStart w:id="85" w:name="ef20075357_ex23-1.htm"/>
      <w:bookmarkStart w:id="86" w:name="ksef20075357_ex231"/>
      <w:bookmarkEnd w:id="85"/>
      <w:bookmarkEnd w:id="8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issued our reports dated March 13, 2026, with respect to the consolidated financial statements and internal control over financial reporting of Gyre Therapeutics, Inc. included in the Annual Report on Form 10-K for the year ended December 31, 2025, which are incorporated by reference in this Registration Statement. We consent to the incorporation by reference of the aforementioned reports in this Registration Statement.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 Grant Thornton Zhitong Certified Public Accountants LLP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Beijing, China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June 9,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87" w:name="ef20075357_ex107-1.htm"/>
      <w:bookmarkStart w:id="88" w:name="ksef20075357_ex1071"/>
      <w:bookmarkStart w:id="89" w:name="ef20075357_ex107-1.htm"/>
      <w:bookmarkStart w:id="90" w:name="ksef20075357_ex1071"/>
      <w:bookmarkEnd w:id="89"/>
      <w:bookmarkEnd w:id="90"/>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107.1</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Gyre Therapeutics,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1002"/>
        <w:gridCol w:w="1197"/>
        <w:gridCol w:w="1341"/>
        <w:gridCol w:w="1247"/>
        <w:gridCol w:w="1283"/>
        <w:gridCol w:w="1367"/>
        <w:gridCol w:w="1266"/>
        <w:gridCol w:w="1502"/>
      </w:tblGrid>
      <w:tr>
        <w:trPr/>
        <w:tc>
          <w:tcPr>
            <w:tcW w:w="10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left"/>
              <w:rPr/>
            </w:pPr>
            <w:r>
              <w:rPr/>
              <w:t> </w:t>
            </w:r>
          </w:p>
        </w:tc>
      </w:tr>
      <w:tr>
        <w:trPr/>
        <w:tc>
          <w:tcPr>
            <w:tcW w:w="10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19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4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4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28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36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2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10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Equity</w:t>
            </w:r>
            <w:r>
              <w:rPr>
                <w:position w:val="8"/>
                <w:sz w:val="19"/>
              </w:rPr>
              <w:t xml:space="preserve">(1) </w:t>
            </w:r>
          </w:p>
        </w:tc>
        <w:tc>
          <w:tcPr>
            <w:tcW w:w="119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$0.001 per share </w:t>
            </w:r>
          </w:p>
        </w:tc>
        <w:tc>
          <w:tcPr>
            <w:tcW w:w="13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457(a) </w:t>
            </w:r>
          </w:p>
        </w:tc>
        <w:tc>
          <w:tcPr>
            <w:tcW w:w="124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4,156,800 </w:t>
            </w:r>
          </w:p>
        </w:tc>
        <w:tc>
          <w:tcPr>
            <w:tcW w:w="128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$5.62</w:t>
            </w:r>
          </w:p>
        </w:tc>
        <w:tc>
          <w:tcPr>
            <w:tcW w:w="136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$23,361,216</w:t>
            </w:r>
          </w:p>
        </w:tc>
        <w:tc>
          <w:tcPr>
            <w:tcW w:w="12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$138.10 per $1,000,000 </w:t>
            </w:r>
          </w:p>
        </w:tc>
        <w:tc>
          <w:tcPr>
            <w:tcW w:w="15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$3,226.18</w:t>
            </w:r>
          </w:p>
        </w:tc>
      </w:tr>
      <w:tr>
        <w:trPr/>
        <w:tc>
          <w:tcPr>
            <w:tcW w:w="4787"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$23,361,216</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$3,226.18</w:t>
            </w:r>
          </w:p>
        </w:tc>
      </w:tr>
      <w:tr>
        <w:trPr/>
        <w:tc>
          <w:tcPr>
            <w:tcW w:w="4787"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8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4787"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$3,226.18</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98"/>
        <w:gridCol w:w="9907"/>
      </w:tblGrid>
      <w:tr>
        <w:trPr/>
        <w:tc>
          <w:tcPr>
            <w:tcW w:w="298"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283"/>
              <w:jc w:val="left"/>
              <w:rPr/>
            </w:pPr>
            <w:r>
              <w:rPr/>
              <w:t> </w:t>
            </w:r>
          </w:p>
        </w:tc>
      </w:tr>
      <w:tr>
        <w:trPr/>
        <w:tc>
          <w:tcPr>
            <w:tcW w:w="298"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07" w:type="dxa"/>
            <w:tcBorders/>
            <w:tcMar>
              <w:top w:w="0" w:type="dxa"/>
              <w:left w:w="0" w:type="dxa"/>
              <w:bottom w:w="0" w:type="dxa"/>
              <w:right w:w="0" w:type="dxa"/>
            </w:tcMar>
            <w:vAlign w:val="center"/>
          </w:tcPr>
          <w:p>
            <w:pPr>
              <w:pStyle w:val="TableContents"/>
              <w:bidi w:val="0"/>
              <w:spacing w:before="0" w:after="80"/>
              <w:jc w:val="both"/>
              <w:rPr/>
            </w:pPr>
            <w:r>
              <w:rPr>
                <w:sz w:val="20"/>
              </w:rPr>
              <w:t>The “Amount Registered” represents 4,156,800 shares of common stock, par value $0.001 per share (the “Common Stock”), of Gyre Therapeutics, Inc. reserved for issuance under the Cullgen Inc. 2018 Stock Incentive Plan (the “Cullgen Plan”), comprised entirely of assumed options. Pursuant to Rule 416(a) under the Securities Act of 1933, as amended (the “Securities Act”), this Registration Statement on Form S-8 shall also cover such indeterminate number of additional shares of Common Stock as may become issuable to prevent dilution in the event of stock splits, stock dividends or similar transactions pursuant to the terms of the Cullgen Plan. The “Proposed Maximum Offering Price Per Unit” and “Maximum Aggregate Offering Price” are calculated solely for the purpose of determining the registration fee pursuant to Rules 457(c) and (h) under the Securities Act, and based on the average of the high and low sale prices of the Common Stock, as quoted on The Nasdaq Capital Market on June 3, 2026.</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24105/000119312526106251/gyre-20251231.htm" TargetMode="External"/><Relationship Id="rId3" Type="http://schemas.openxmlformats.org/officeDocument/2006/relationships/hyperlink" Target="https://www.sec.gov/ix?doc=/Archives/edgar/data/0001124105/000119312526106251/gyre-20251231.htm" TargetMode="External"/><Relationship Id="rId4" Type="http://schemas.openxmlformats.org/officeDocument/2006/relationships/hyperlink" Target="https://www.sec.gov/ix?doc=/Archives/edgar/data/0001124105/000119312526214676/gyre-20260331.htm" TargetMode="External"/><Relationship Id="rId5" Type="http://schemas.openxmlformats.org/officeDocument/2006/relationships/hyperlink" Target="https://www.sec.gov/ix?doc=/Archives/edgar/data/0001124105/000119312526214676/gyre-20260331.htm" TargetMode="External"/><Relationship Id="rId6" Type="http://schemas.openxmlformats.org/officeDocument/2006/relationships/hyperlink" Target="https://www.sec.gov/ix?doc=/Archives/edgar/data/0001124105/000114036126007249/ef20066398_8k.htm" TargetMode="External"/><Relationship Id="rId7" Type="http://schemas.openxmlformats.org/officeDocument/2006/relationships/hyperlink" Target="https://www.sec.gov/ix?doc=/Archives/edgar/data/0001124105/000114036126015307/ef20070667_8ka.htm" TargetMode="External"/><Relationship Id="rId8" Type="http://schemas.openxmlformats.org/officeDocument/2006/relationships/hyperlink" Target="https://www.sec.gov/ix?doc=/Archives/edgar/data/0001124105/000114036126010654/ef20068482_8k.htm" TargetMode="External"/><Relationship Id="rId9" Type="http://schemas.openxmlformats.org/officeDocument/2006/relationships/hyperlink" Target="https://www.sec.gov/ix?doc=/Archives/edgar/data/0001124105/000114036126018716/ef20072211_8k.htm" TargetMode="External"/><Relationship Id="rId10" Type="http://schemas.openxmlformats.org/officeDocument/2006/relationships/hyperlink" Target="https://www.sec.gov/Archives/edgar/data/1124105/000095017025040279/gyre-ex4_1.htm" TargetMode="External"/><Relationship Id="rId11" Type="http://schemas.openxmlformats.org/officeDocument/2006/relationships/hyperlink" Target="https://www.sec.gov/Archives/edgar/data/1124105/000095017024126306/gyre-ex3_1.htm" TargetMode="External"/><Relationship Id="rId12" Type="http://schemas.openxmlformats.org/officeDocument/2006/relationships/hyperlink" Target="https://www.sec.gov/Archives/edgar/data/1124105/000114036122046943/brhc10045912_ex3-1.htm" TargetMode="External"/><Relationship Id="rId13" Type="http://schemas.openxmlformats.org/officeDocument/2006/relationships/hyperlink" Target="https://www.sec.gov/Archives/edgar/data/1124105/000114036123050292/ny20009756x10_ex3-2.htm" TargetMode="External"/><Relationship Id="rId14" Type="http://schemas.openxmlformats.org/officeDocument/2006/relationships/hyperlink" Target="https://www.sec.gov/Archives/edgar/data/1124105/000114036123030517/brhc20054638_ex3-1.htm" TargetMode="External"/><Relationship Id="rId15" Type="http://schemas.openxmlformats.org/officeDocument/2006/relationships/hyperlink" Target="https://www.sec.gov/Archives/edgar/data/1124105/000114036123042067/brhc20058284_ex3-1.htm" TargetMode="External"/><Relationship Id="rId16" Type="http://schemas.openxmlformats.org/officeDocument/2006/relationships/hyperlink" Target="https://www.sec.gov/Archives/edgar/data/1124105/000119312517121994/d375894dex31.htm" TargetMode="External"/><Relationship Id="rId17" Type="http://schemas.openxmlformats.org/officeDocument/2006/relationships/hyperlink" Target="https://www.sec.gov/Archives/edgar/data/1124105/000095017024037242/gyre-ex3_6b.htm" TargetMode="External"/><Relationship Id="rId18" Type="http://schemas.openxmlformats.org/officeDocument/2006/relationships/hyperlink" Target="https://www.sec.gov/Archives/edgar/data/1124105/000114036123050292/ny20009756x10_ex3-3.htm" TargetMode="External"/><Relationship Id="rId19" Type="http://schemas.openxmlformats.org/officeDocument/2006/relationships/hyperlink" Target="https://www.sec.gov/Archives/edgar/data/1124105/000114036126018716/ef20072211_ex10-5.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11933</Words>
  <Characters>62971</Characters>
  <CharactersWithSpaces>75159</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