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CATALYST BIOSCIENCES,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000-51173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56-2020050</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jc w:val="center"/>
        <w:ind w:right="740"/>
        <w:spacing w:after="0"/>
        <w:rPr>
          <w:sz w:val="20"/>
          <w:szCs w:val="20"/>
          <w:color w:val="auto"/>
        </w:rPr>
      </w:pPr>
      <w:r>
        <w:rPr>
          <w:rFonts w:ascii="Arial" w:cs="Arial" w:eastAsia="Arial" w:hAnsi="Arial"/>
          <w:sz w:val="14"/>
          <w:szCs w:val="14"/>
          <w:b w:val="1"/>
          <w:bCs w:val="1"/>
          <w:color w:val="auto"/>
        </w:rPr>
        <w:t>(State or other jurisdiction</w:t>
      </w:r>
    </w:p>
    <w:p>
      <w:pPr>
        <w:jc w:val="center"/>
        <w:ind w:right="7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611 Gateway Blvd, Suite 710, South San Francisco, CA 94080</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871-0761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CBIO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May 2, 2019, Catalyst Biosciences, Inc., issued a press release announcing its financial results for the quarter ended March 31, 2019. The full text of the press release issued in connection with the announcement is furnished as Exhibit 99.1 to this Current Report on Form 8-K.</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information set forth in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8500" w:type="dxa"/>
            <w:vAlign w:val="bottom"/>
            <w:gridSpan w:val="2"/>
          </w:tcPr>
          <w:p>
            <w:pPr>
              <w:spacing w:after="0"/>
              <w:rPr>
                <w:sz w:val="14"/>
                <w:szCs w:val="14"/>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1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May 2, 2019 and titled “Catalyst Biosciences Reports First Quarter 2019 Operating &amp; Financial Results and</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Provides a Corporate Update.”</w:t>
              </w:r>
            </w:hyperlink>
          </w:p>
        </w:tc>
        <w:tc>
          <w:tcPr>
            <w:tcW w:w="6960" w:type="dxa"/>
            <w:vAlign w:val="bottom"/>
          </w:tcPr>
          <w:p>
            <w:pPr>
              <w:spacing w:after="0"/>
              <w:rPr>
                <w:sz w:val="17"/>
                <w:szCs w:val="17"/>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520" w:type="dxa"/>
            <w:vAlign w:val="bottom"/>
            <w:gridSpan w:val="2"/>
          </w:tcPr>
          <w:p>
            <w:pPr>
              <w:ind w:left="2160"/>
              <w:spacing w:after="0"/>
              <w:rPr>
                <w:sz w:val="20"/>
                <w:szCs w:val="20"/>
                <w:color w:val="auto"/>
              </w:rPr>
            </w:pPr>
            <w:r>
              <w:rPr>
                <w:rFonts w:ascii="Arial" w:cs="Arial" w:eastAsia="Arial" w:hAnsi="Arial"/>
                <w:sz w:val="18"/>
                <w:szCs w:val="18"/>
                <w:color w:val="auto"/>
              </w:rPr>
              <w:t>CATALYST BIOSCIENCES,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2, 2019</w:t>
            </w:r>
          </w:p>
        </w:tc>
        <w:tc>
          <w:tcPr>
            <w:tcW w:w="7520" w:type="dxa"/>
            <w:vAlign w:val="bottom"/>
            <w:gridSpan w:val="2"/>
          </w:tcPr>
          <w:p>
            <w:pPr>
              <w:ind w:left="2160"/>
              <w:spacing w:after="0"/>
              <w:rPr>
                <w:sz w:val="20"/>
                <w:szCs w:val="20"/>
                <w:color w:val="auto"/>
              </w:rPr>
            </w:pPr>
            <w:r>
              <w:rPr>
                <w:rFonts w:ascii="Arial" w:cs="Arial" w:eastAsia="Arial" w:hAnsi="Arial"/>
                <w:sz w:val="18"/>
                <w:szCs w:val="18"/>
                <w:color w:val="auto"/>
              </w:rPr>
              <w:t>By: /s/ Nassim Usman</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Nassim Usman, Ph.D.</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Catalyst Biosciences Reports First Quarter 2019 Operating &amp;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a Corporate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Final MarzAA Phase 2 data to be presented at upcoming International Society for Thrombosis &amp;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Hemostasis (ISTH) meeting in July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MarzAA Orphan Drug Designation received from the European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Initiated DalcA Phase 2b Trial for the Treatment of Hemophilia B</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May 2, 2019 </w:t>
      </w:r>
      <w:r>
        <w:rPr>
          <w:rFonts w:ascii="Arial" w:cs="Arial" w:eastAsia="Arial" w:hAnsi="Arial"/>
          <w:sz w:val="18"/>
          <w:szCs w:val="18"/>
          <w:color w:val="auto"/>
        </w:rPr>
        <w:t>– Catalyst Biosciences, Inc. (NASDAQ: CBIO), today announced its operating and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ended March 31, 2019 and provided a corporate update.</w:t>
      </w:r>
    </w:p>
    <w:p>
      <w:pPr>
        <w:spacing w:after="0" w:line="166"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“We are pleased with the clinical progress this quarter and look forward to several clinical read outs from both our MarzAA and DalcA hemophilia programs during 2019,” said Nassim Usman, Ph.D., president and chief executive officer of Catalyst. “The data continue to demonstrate that our therapies are safe, highly efficacious and provide clinically meaningful reductions in bleeding in hemophilia patients. We believe that subcutaneous delivery is the future for hemophilia treatments and that our candidates have the potential to disrupt the current $3.7 billion intravenous factor replacement market.”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Milestones:</w:t>
      </w:r>
    </w:p>
    <w:p>
      <w:pPr>
        <w:spacing w:after="0" w:line="131" w:lineRule="exact"/>
        <w:rPr>
          <w:sz w:val="20"/>
          <w:szCs w:val="20"/>
          <w:color w:val="auto"/>
        </w:rPr>
      </w:pPr>
    </w:p>
    <w:p>
      <w:pPr>
        <w:ind w:left="440" w:right="60" w:hanging="328"/>
        <w:spacing w:after="0" w:line="277"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Marzeptacog alfa (activated) </w:t>
      </w:r>
      <w:r>
        <w:rPr>
          <w:rFonts w:ascii="Arial" w:cs="Arial" w:eastAsia="Arial" w:hAnsi="Arial"/>
          <w:sz w:val="17"/>
          <w:szCs w:val="17"/>
          <w:color w:val="auto"/>
        </w:rPr>
        <w:t>–</w:t>
      </w:r>
      <w:r>
        <w:rPr>
          <w:rFonts w:ascii="Arial" w:cs="Arial" w:eastAsia="Arial" w:hAnsi="Arial"/>
          <w:sz w:val="17"/>
          <w:szCs w:val="17"/>
          <w:b w:val="1"/>
          <w:bCs w:val="1"/>
          <w:color w:val="auto"/>
        </w:rPr>
        <w:t xml:space="preserve"> MarzAA</w:t>
      </w:r>
      <w:r>
        <w:rPr>
          <w:rFonts w:ascii="Arial" w:cs="Arial" w:eastAsia="Arial" w:hAnsi="Arial"/>
          <w:sz w:val="17"/>
          <w:szCs w:val="17"/>
          <w:color w:val="auto"/>
        </w:rPr>
        <w:t>, Catalyst’s next-generation engineered subcutaneous (SQ) coagulation Factor VIIa (FVIIa) for</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individuals with hemophilia A or B with inhibitors: Completed enrollment and dosing for the Phase 2 open-label SQ efficacy trial. Reported data on seven subjects who completed dosing to date who had a pre-dose mean annualized bleed rate (ABR) of 18.2 (range of 12.2-26.7) that was reduced to 2.1 (&gt;90% reduction); and five of the seven subjects had no bleeds for 50 days at the lowest MarzAA dose (30 µg/kg). The Company’s interim data indicates MarzAA is safe and well tolerated and had no anti-drug antibody development.</w:t>
      </w:r>
    </w:p>
    <w:p>
      <w:pPr>
        <w:spacing w:after="0" w:line="172"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MarzAA received orphan drug designation for the treatment of hemophilia B from the European Commission.</w:t>
      </w:r>
    </w:p>
    <w:p>
      <w:pPr>
        <w:spacing w:after="0" w:line="248" w:lineRule="exact"/>
        <w:rPr>
          <w:rFonts w:ascii="Arial" w:cs="Arial" w:eastAsia="Arial" w:hAnsi="Arial"/>
          <w:sz w:val="17"/>
          <w:szCs w:val="17"/>
          <w:color w:val="auto"/>
        </w:rPr>
      </w:pPr>
    </w:p>
    <w:p>
      <w:pPr>
        <w:ind w:left="440" w:right="80" w:hanging="328"/>
        <w:spacing w:after="0" w:line="281"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Dalcinonacog alfa </w:t>
      </w:r>
      <w:r>
        <w:rPr>
          <w:rFonts w:ascii="Arial" w:cs="Arial" w:eastAsia="Arial" w:hAnsi="Arial"/>
          <w:sz w:val="17"/>
          <w:szCs w:val="17"/>
          <w:color w:val="auto"/>
        </w:rPr>
        <w:t>–</w:t>
      </w:r>
      <w:r>
        <w:rPr>
          <w:rFonts w:ascii="Arial" w:cs="Arial" w:eastAsia="Arial" w:hAnsi="Arial"/>
          <w:sz w:val="17"/>
          <w:szCs w:val="17"/>
          <w:b w:val="1"/>
          <w:bCs w:val="1"/>
          <w:color w:val="auto"/>
        </w:rPr>
        <w:t xml:space="preserve"> DalcA</w:t>
      </w:r>
      <w:r>
        <w:rPr>
          <w:rFonts w:ascii="Arial" w:cs="Arial" w:eastAsia="Arial" w:hAnsi="Arial"/>
          <w:sz w:val="17"/>
          <w:szCs w:val="17"/>
          <w:color w:val="auto"/>
        </w:rPr>
        <w:t>, Catalyst’s next-generation engineered SQ coagulation Factor IX (FIX) for individuals with hemophilia B: Initiated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2b trial for the treatment of hemophilia B. The open-label study will evaluate the ability of DalcA to maintain steady state FIX levels above 12%, the minimum factor level required to prevent spontaneous bleeds, in individuals with severe hemophilia B. The trial will enroll up to six subjects who will receive a single intravenous dose followed by daily SQ doses of DalcA for 28 days.</w:t>
      </w:r>
    </w:p>
    <w:p>
      <w:pPr>
        <w:spacing w:after="0" w:line="191" w:lineRule="exact"/>
        <w:rPr>
          <w:rFonts w:ascii="Arial" w:cs="Arial" w:eastAsia="Arial" w:hAnsi="Arial"/>
          <w:sz w:val="17"/>
          <w:szCs w:val="17"/>
          <w:color w:val="auto"/>
        </w:rPr>
      </w:pPr>
    </w:p>
    <w:p>
      <w:pPr>
        <w:ind w:left="440" w:right="20" w:hanging="328"/>
        <w:spacing w:after="0" w:line="266"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CB 2679d-GT </w:t>
      </w:r>
      <w:r>
        <w:rPr>
          <w:rFonts w:ascii="Arial" w:cs="Arial" w:eastAsia="Arial" w:hAnsi="Arial"/>
          <w:sz w:val="18"/>
          <w:szCs w:val="18"/>
          <w:color w:val="auto"/>
        </w:rPr>
        <w:t>– Factor IX Gene Therapy: Completed pre-clinical proof-of-concept study of FIX Gene Therapy for the treatment of hemophilia B.</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3-fold superior clotting activity and a 4-to-5-fold reduction in bleeding time in a hemophilia B mouse model using an AAV vector containing the CB 2679d gene construct compared with an AAV-Padua gene construct.</w:t>
      </w:r>
    </w:p>
    <w:p>
      <w:pPr>
        <w:sectPr>
          <w:pgSz w:w="11900" w:h="16838" w:orient="portrait"/>
          <w:cols w:equalWidth="0" w:num="1">
            <w:col w:w="11020"/>
          </w:cols>
          <w:pgMar w:left="440" w:top="121" w:right="439" w:bottom="1440" w:gutter="0" w:footer="0" w:header="0"/>
        </w:sectPr>
      </w:pPr>
    </w:p>
    <w:bookmarkStart w:id="4" w:name="page5"/>
    <w:bookmarkEnd w:id="4"/>
    <w:p>
      <w:pPr>
        <w:ind w:left="440" w:hanging="328"/>
        <w:spacing w:after="0" w:line="25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Anti-C3 Protease – CB 2782-PEG </w:t>
      </w:r>
      <w:r>
        <w:rPr>
          <w:rFonts w:ascii="Arial" w:cs="Arial" w:eastAsia="Arial" w:hAnsi="Arial"/>
          <w:sz w:val="18"/>
          <w:szCs w:val="18"/>
          <w:color w:val="auto"/>
        </w:rPr>
        <w:t>(long ocular half-life): Completed an intravitreal pre-clinical pharmacokinetics study and an intravitreal</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pharmacokinetic and pharmacodynamic study comparing CB 2782-PEG with CB 2782 (conventional half-life). A single intravitreal injection of 125 µg of CB 2782-PEG had a greater than 99% elimination of C3 in non-human primates for at least 28 days. Data from these studies indicate the CB 2782-PEG is potentially a best-in-class anti-complement factor 3 therapy, with an expected intravitreal administration frequency of three to four times a year.</w:t>
      </w:r>
    </w:p>
    <w:p>
      <w:pPr>
        <w:spacing w:after="0" w:line="21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Financial</w:t>
      </w:r>
      <w:r>
        <w:rPr>
          <w:rFonts w:ascii="Arial" w:cs="Arial" w:eastAsia="Arial" w:hAnsi="Arial"/>
          <w:sz w:val="18"/>
          <w:szCs w:val="18"/>
          <w:color w:val="auto"/>
        </w:rPr>
        <w:t>: Ended Q1 2019 with a cash and short-term investments balance of $105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Milestones</w:t>
      </w:r>
    </w:p>
    <w:p>
      <w:pPr>
        <w:spacing w:after="0" w:line="135" w:lineRule="exact"/>
        <w:rPr>
          <w:sz w:val="20"/>
          <w:szCs w:val="20"/>
          <w:color w:val="auto"/>
        </w:rPr>
      </w:pPr>
    </w:p>
    <w:p>
      <w:pPr>
        <w:ind w:left="440" w:right="240" w:hanging="328"/>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 final results for all subjects from the MarzAA Phase 2 open-label SQ efficacy trial at the ISTH meeting in July 2019; initiate a MarzAA Phase 1 pharmacokinetic and pharmacodynamic study in Q2 2019 with final data read out in Q4 2019; and request an End of Phase 2 meeting with the FDA by the end of 2019.</w:t>
      </w:r>
    </w:p>
    <w:p>
      <w:pPr>
        <w:spacing w:after="0" w:line="208"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the DalcA Phase 2b open-label SQ long-term dosing study, with final data readout in Q4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Results and Financial Highlights</w:t>
      </w:r>
    </w:p>
    <w:p>
      <w:pPr>
        <w:spacing w:after="0" w:line="135" w:lineRule="exact"/>
        <w:rPr>
          <w:sz w:val="20"/>
          <w:szCs w:val="20"/>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cash equivalents and short-term investments as of March 31, 2019 were $105.3 million.</w:t>
      </w:r>
    </w:p>
    <w:p>
      <w:pPr>
        <w:spacing w:after="0" w:line="252" w:lineRule="exact"/>
        <w:rPr>
          <w:rFonts w:ascii="Arial" w:cs="Arial" w:eastAsia="Arial" w:hAnsi="Arial"/>
          <w:sz w:val="18"/>
          <w:szCs w:val="18"/>
          <w:color w:val="auto"/>
        </w:rPr>
      </w:pPr>
    </w:p>
    <w:p>
      <w:pPr>
        <w:ind w:left="440" w:right="160" w:hanging="328"/>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expense for the three months ended March 31, 2019 was $12.0 million, compared with $3.8 million for the prior year period. The increase was due primarily to investments in the clinical and manufacturing development for the MarzAA and DalcA clinical programs.</w:t>
      </w:r>
    </w:p>
    <w:p>
      <w:pPr>
        <w:spacing w:after="0" w:line="208" w:lineRule="exact"/>
        <w:rPr>
          <w:rFonts w:ascii="Arial" w:cs="Arial" w:eastAsia="Arial" w:hAnsi="Arial"/>
          <w:sz w:val="18"/>
          <w:szCs w:val="18"/>
          <w:color w:val="auto"/>
        </w:rPr>
      </w:pPr>
    </w:p>
    <w:p>
      <w:pPr>
        <w:ind w:left="440" w:right="240" w:hanging="328"/>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 for the three months ended March 31, 2019 was $3.7 million, compared with $2.9 million for the prior year period. The increase was due primarily to increases in personnel and professional service costs.</w:t>
      </w:r>
    </w:p>
    <w:p>
      <w:pPr>
        <w:spacing w:after="0" w:line="197" w:lineRule="exact"/>
        <w:rPr>
          <w:rFonts w:ascii="Arial" w:cs="Arial" w:eastAsia="Arial" w:hAnsi="Arial"/>
          <w:sz w:val="18"/>
          <w:szCs w:val="18"/>
          <w:color w:val="auto"/>
        </w:rPr>
      </w:pPr>
    </w:p>
    <w:p>
      <w:pPr>
        <w:ind w:left="440" w:right="100" w:hanging="328"/>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and other income for the three months ended March 31, 2019 was $0.6 million, compared with $1.6 million for the prior year period. The decrease was due primarily to receiving a non-recurring milestone payment of $1.4 million in 2018, which was partially offset by higher interest income in 2019.</w:t>
      </w:r>
    </w:p>
    <w:p>
      <w:pPr>
        <w:spacing w:after="0" w:line="208"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attributable to common stockholders for the three months ended March 31, 2019 was $15.1 million, or ($1.26) per basic and diluted share, compared with $5.0 million, or ($0.56) per basic and diluted share for the prior year period.</w:t>
      </w:r>
    </w:p>
    <w:p>
      <w:pPr>
        <w:spacing w:after="0" w:line="197" w:lineRule="exact"/>
        <w:rPr>
          <w:rFonts w:ascii="Arial" w:cs="Arial" w:eastAsia="Arial" w:hAnsi="Arial"/>
          <w:sz w:val="18"/>
          <w:szCs w:val="18"/>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March 31, 2019, the Company had 11,974,104 shares of common stock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Catalyst Biosciences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Catalyst is a clinical-stage biopharmaceutical company focused on developing novel medicines to address serious medical conditions for individuals who need new or better treatment options. We are focusing our product development efforts in the field of hemostasis (the process that regulates bleeding) and have a mission to develop valuable therapies for individuals with hemophilia. For more information, please visit </w:t>
      </w:r>
      <w:r>
        <w:rPr>
          <w:rFonts w:ascii="Arial" w:cs="Arial" w:eastAsia="Arial" w:hAnsi="Arial"/>
          <w:sz w:val="18"/>
          <w:szCs w:val="18"/>
          <w:u w:val="single" w:color="auto"/>
          <w:color w:val="auto"/>
        </w:rPr>
        <w:t>www.catalystbiosciences.com</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Forward-looking statements include statements about the potential commercial market for MarzAA and DalcA, Catalyst’s clinical trial plans for MarzAA and DalcA, the timing of clinical trials and anticipated results, plans for an end of Phase2 meeting for MarzAA, and the potential uses and benefits of CB 2679d-GT and CB 2782-PEG. Actual results or events could differ materially from the plans, intentions, expectations and projections disclosed in the forward-looking statements. Various important factors could cause actual results or events to differ materially, including, but not limited to, the risk that trials and studies may be delayed and may not have satisfactory outcomes, that additional human trials will not replicate the results from earlier trials, that potential adverse effects may arise from the testing or use of MarzAA or DalcA, including the generation of antibodies, which has been observed in patients treated with DalcA, the risk that costs required to develop or manufacture the Company’s products will be higher than anticipated, competition and other factors that affect our ability to establish collaborations on commercially reasonable terms and other risks described in the “Risk Factors” section of the Company’s Annual Report on Form 10-K for the quarter and the year ended December 31, 2018 filed with the Securities and Exchange Commission on March 8, 2019, and with other filings with the Securities and Exchange Commission. The Company does not assume any obligation to update any forward-looking statements, except as required by law.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Fletcher Payne,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Catalyst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1.650.871.0761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investors@catbio.com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Josephine Belluardo,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1.646.751.4361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jo@lifescipublicrelations.com</w:t>
      </w:r>
    </w:p>
    <w:p>
      <w:pPr>
        <w:sectPr>
          <w:pgSz w:w="11900" w:h="16838" w:orient="portrait"/>
          <w:cols w:equalWidth="0" w:num="1">
            <w:col w:w="10980"/>
          </w:cols>
          <w:pgMar w:left="440" w:top="270"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Catalyst Biosciences,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109,002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111,870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Operating lease liability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noncurrent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Preferred stock, $0.001 par value, 5,000,000 shares authorized; zero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$0.001 par value, 100,000,000 shares authorized; 11,974,104 and 11,954,528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at March 31, 2019 and December 31, 2018,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324,214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(218,425)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105,814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111,870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Catalyst Biosciences,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net loss per share attributable to common stockholders, basic and diluted</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11,963,586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8,989,669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2019-12-28T13:29:10Z</dcterms:created>
  <dcterms:modified xsi:type="dcterms:W3CDTF">2019-12-28T13:29:10Z</dcterms:modified>
</cp:coreProperties>
</file>