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22, 2026</w:t>
      </w:r>
    </w:p>
    <w:p>
      <w:pPr>
        <w:spacing w:after="0" w:line="34" w:lineRule="exact"/>
        <w:rPr>
          <w:sz w:val="24"/>
          <w:szCs w:val="24"/>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582231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2315" cy="15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5822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2315" cy="8255"/>
                    </a:xfrm>
                    <a:prstGeom prst="rect">
                      <a:avLst/>
                    </a:prstGeom>
                    <a:noFill/>
                  </pic:spPr>
                </pic:pic>
              </a:graphicData>
            </a:graphic>
          </wp:anchor>
        </w:drawing>
      </w:r>
    </w:p>
    <w:p>
      <w:pPr>
        <w:spacing w:after="0" w:line="2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60960</wp:posOffset>
            </wp:positionV>
            <wp:extent cx="1035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26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6" w:lineRule="exact"/>
        <w:rPr>
          <w:sz w:val="24"/>
          <w:szCs w:val="24"/>
          <w:color w:val="auto"/>
        </w:rPr>
      </w:pPr>
    </w:p>
    <w:tbl>
      <w:tblPr>
        <w:tblLayout w:type="fixed"/>
        <w:tblInd w:w="1220" w:type="dxa"/>
        <w:tblCellMar>
          <w:top w:w="0" w:type="dxa"/>
          <w:left w:w="0" w:type="dxa"/>
          <w:bottom w:w="0" w:type="dxa"/>
          <w:right w:w="0" w:type="dxa"/>
        </w:tblCellMar>
      </w:tblPr>
      <w:tr>
        <w:trPr>
          <w:trHeight w:val="223"/>
        </w:trPr>
        <w:tc>
          <w:tcPr>
            <w:tcW w:w="4820" w:type="dxa"/>
            <w:vAlign w:val="bottom"/>
            <w:gridSpan w:val="4"/>
          </w:tcPr>
          <w:p>
            <w:pPr>
              <w:jc w:val="center"/>
              <w:ind w:left="1830"/>
              <w:spacing w:after="0"/>
              <w:rPr>
                <w:sz w:val="20"/>
                <w:szCs w:val="20"/>
                <w:color w:val="auto"/>
              </w:rPr>
            </w:pPr>
            <w:r>
              <w:rPr>
                <w:rFonts w:ascii="Times New Roman" w:cs="Times New Roman" w:eastAsia="Times New Roman" w:hAnsi="Times New Roman"/>
                <w:sz w:val="17"/>
                <w:szCs w:val="17"/>
                <w:b w:val="1"/>
                <w:bCs w:val="1"/>
                <w:i w:val="1"/>
                <w:iCs w:val="1"/>
                <w:color w:val="auto"/>
                <w:w w:val="99"/>
              </w:rPr>
              <w:t>THE SECURITIES ACT OF 1933</w:t>
            </w:r>
          </w:p>
        </w:tc>
        <w:tc>
          <w:tcPr>
            <w:tcW w:w="1660" w:type="dxa"/>
            <w:vAlign w:val="bottom"/>
          </w:tcPr>
          <w:p>
            <w:pPr>
              <w:spacing w:after="0"/>
              <w:rPr>
                <w:sz w:val="19"/>
                <w:szCs w:val="19"/>
                <w:color w:val="auto"/>
              </w:rPr>
            </w:pPr>
          </w:p>
        </w:tc>
      </w:tr>
      <w:tr>
        <w:trPr>
          <w:trHeight w:val="58"/>
        </w:trPr>
        <w:tc>
          <w:tcPr>
            <w:tcW w:w="2560" w:type="dxa"/>
            <w:vAlign w:val="bottom"/>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494"/>
        </w:trPr>
        <w:tc>
          <w:tcPr>
            <w:tcW w:w="4820" w:type="dxa"/>
            <w:vAlign w:val="bottom"/>
            <w:gridSpan w:val="4"/>
          </w:tcPr>
          <w:p>
            <w:pPr>
              <w:ind w:left="1960"/>
              <w:spacing w:after="0"/>
              <w:rPr>
                <w:sz w:val="20"/>
                <w:szCs w:val="20"/>
                <w:color w:val="auto"/>
              </w:rPr>
            </w:pPr>
            <w:r>
              <w:rPr>
                <w:rFonts w:ascii="Times New Roman" w:cs="Times New Roman" w:eastAsia="Times New Roman" w:hAnsi="Times New Roman"/>
                <w:sz w:val="27"/>
                <w:szCs w:val="27"/>
                <w:b w:val="1"/>
                <w:bCs w:val="1"/>
                <w:color w:val="auto"/>
              </w:rPr>
              <w:t>Gyre Therapeutics, Inc.</w:t>
            </w:r>
          </w:p>
        </w:tc>
        <w:tc>
          <w:tcPr>
            <w:tcW w:w="1660" w:type="dxa"/>
            <w:vAlign w:val="bottom"/>
          </w:tcPr>
          <w:p>
            <w:pPr>
              <w:spacing w:after="0"/>
              <w:rPr>
                <w:sz w:val="24"/>
                <w:szCs w:val="24"/>
                <w:color w:val="auto"/>
              </w:rPr>
            </w:pPr>
          </w:p>
        </w:tc>
      </w:tr>
      <w:tr>
        <w:trPr>
          <w:trHeight w:val="223"/>
        </w:trPr>
        <w:tc>
          <w:tcPr>
            <w:tcW w:w="6480" w:type="dxa"/>
            <w:vAlign w:val="bottom"/>
            <w:gridSpan w:val="5"/>
          </w:tcPr>
          <w:p>
            <w:pPr>
              <w:jc w:val="center"/>
              <w:ind w:left="15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90"/>
        </w:trPr>
        <w:tc>
          <w:tcPr>
            <w:tcW w:w="256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640" w:type="dxa"/>
            <w:vAlign w:val="bottom"/>
            <w:gridSpan w:val="2"/>
          </w:tcPr>
          <w:p>
            <w:pPr>
              <w:spacing w:after="0"/>
              <w:rPr>
                <w:sz w:val="7"/>
                <w:szCs w:val="7"/>
                <w:color w:val="auto"/>
              </w:rPr>
            </w:pPr>
          </w:p>
        </w:tc>
        <w:tc>
          <w:tcPr>
            <w:tcW w:w="1660" w:type="dxa"/>
            <w:vAlign w:val="bottom"/>
          </w:tcPr>
          <w:p>
            <w:pPr>
              <w:spacing w:after="0"/>
              <w:rPr>
                <w:sz w:val="7"/>
                <w:szCs w:val="7"/>
                <w:color w:val="auto"/>
              </w:rPr>
            </w:pPr>
          </w:p>
        </w:tc>
      </w:tr>
      <w:tr>
        <w:trPr>
          <w:trHeight w:val="319"/>
        </w:trPr>
        <w:tc>
          <w:tcPr>
            <w:tcW w:w="4820" w:type="dxa"/>
            <w:vAlign w:val="bottom"/>
            <w:gridSpan w:val="4"/>
          </w:tcPr>
          <w:p>
            <w:pPr>
              <w:jc w:val="center"/>
              <w:ind w:right="27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56-2020050</w:t>
            </w:r>
          </w:p>
        </w:tc>
      </w:tr>
      <w:tr>
        <w:trPr>
          <w:trHeight w:val="215"/>
        </w:trPr>
        <w:tc>
          <w:tcPr>
            <w:tcW w:w="4820" w:type="dxa"/>
            <w:vAlign w:val="bottom"/>
            <w:gridSpan w:val="4"/>
          </w:tcPr>
          <w:p>
            <w:pPr>
              <w:jc w:val="center"/>
              <w:ind w:right="2780"/>
              <w:spacing w:after="0"/>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166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05"/>
        </w:trPr>
        <w:tc>
          <w:tcPr>
            <w:tcW w:w="4820" w:type="dxa"/>
            <w:vAlign w:val="bottom"/>
            <w:gridSpan w:val="4"/>
          </w:tcPr>
          <w:p>
            <w:pPr>
              <w:jc w:val="center"/>
              <w:ind w:right="2780"/>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166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Identification Number)</w:t>
            </w:r>
          </w:p>
        </w:tc>
      </w:tr>
    </w:tbl>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12730 High Bluff Drive</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Suite 250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Diego, CA 92130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55880</wp:posOffset>
            </wp:positionV>
            <wp:extent cx="1035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Joshua Bergmann</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General Counsel and Corporate Secretary</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Gyre Therapeutics, Inc.</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12730 High Bluff Drive</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Suite 250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Diego, CA 92130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(858) 284-0115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64135</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Ryan A. Murr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Branden C. Berns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Gibson, Dunn &amp; Crutcher LLP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One Embarcadero Center, Suite 2600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Francisco, CA 94111-3715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(415) 393-8200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64135</wp:posOffset>
            </wp:positionV>
            <wp:extent cx="1035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 Statement.</w:t>
      </w:r>
    </w:p>
    <w:p>
      <w:pPr>
        <w:spacing w:after="0" w:line="8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8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Accelerated filer</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2"/>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8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1"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34925</wp:posOffset>
            </wp:positionV>
            <wp:extent cx="1035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822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23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180975</wp:posOffset>
            </wp:positionV>
            <wp:extent cx="58223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2315" cy="15875"/>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310515</wp:posOffset>
            </wp:positionV>
            <wp:extent cx="65982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160"/>
          </w:cols>
          <w:pgMar w:left="1360" w:top="217" w:right="137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20" w:right="99"/>
        <w:spacing w:after="0" w:line="265" w:lineRule="auto"/>
        <w:rPr>
          <w:sz w:val="20"/>
          <w:szCs w:val="20"/>
          <w:color w:val="auto"/>
        </w:rPr>
      </w:pPr>
      <w:r>
        <w:rPr>
          <w:rFonts w:ascii="Arial" w:cs="Arial" w:eastAsia="Arial" w:hAnsi="Arial"/>
          <w:sz w:val="15"/>
          <w:szCs w:val="15"/>
          <w:b w:val="1"/>
          <w:bCs w:val="1"/>
          <w:color w:val="FC0014"/>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C0014"/>
        </w:rPr>
        <w:t>SUBJECT TO COMPLETION, DATED JUNE 22, 2026</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123190</wp:posOffset>
            </wp:positionV>
            <wp:extent cx="1366520" cy="290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6520"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Gyre Therapeutics, Inc.</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30,221,531 Shares of Common Stock</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Offered by the Selling Stockholders</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This prospectus relates to the proposed resale or other disposition by the selling stockholders identified herein (the “Selling Stockholders”) of up to</w:t>
      </w:r>
    </w:p>
    <w:p>
      <w:pPr>
        <w:spacing w:after="0" w:line="8" w:lineRule="exact"/>
        <w:rPr>
          <w:sz w:val="20"/>
          <w:szCs w:val="20"/>
          <w:color w:val="auto"/>
        </w:rPr>
      </w:pPr>
    </w:p>
    <w:p>
      <w:pPr>
        <w:jc w:val="both"/>
        <w:ind w:left="20" w:right="39" w:firstLine="2"/>
        <w:spacing w:after="0" w:line="232" w:lineRule="auto"/>
        <w:tabs>
          <w:tab w:leader="none" w:pos="20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11,735,356 shares (“Common Shares”) of our common stock, par value $0.001 per share (“Common Stock”), and (ii) 18,486,175 shares of Common Stock (“Conversion Series B Shares”) issuable upon the conversion of 3,697,235 shares (“Series B Preferred Shares”) of our Series B Preferred Stock, par value $0.001 per share (“Series B Preferred Stock”). Subject to receiving approval by our stockholders of the issuance of shares of Common Stock upon conversion of the Series B Preferred Stock in accordance with Nasdaq rules (the “Conversion Approval”) and certain beneficial ownership limitations set by each preferred stockholder, each share of Series B Preferred Stock may, at the option of the holder, convert into five shares of Common Stock. The shares of Common Stock registered by this prospectus are referred to herein as the “Resale Shares.”</w:t>
      </w:r>
    </w:p>
    <w:p>
      <w:pPr>
        <w:spacing w:after="0" w:line="31" w:lineRule="exact"/>
        <w:rPr>
          <w:sz w:val="20"/>
          <w:szCs w:val="20"/>
          <w:color w:val="auto"/>
        </w:rPr>
      </w:pPr>
    </w:p>
    <w:p>
      <w:pPr>
        <w:jc w:val="both"/>
        <w:ind w:left="20" w:right="39" w:firstLine="339"/>
        <w:spacing w:after="0" w:line="248" w:lineRule="auto"/>
        <w:rPr>
          <w:sz w:val="20"/>
          <w:szCs w:val="20"/>
          <w:color w:val="auto"/>
        </w:rPr>
      </w:pPr>
      <w:r>
        <w:rPr>
          <w:rFonts w:ascii="Times New Roman" w:cs="Times New Roman" w:eastAsia="Times New Roman" w:hAnsi="Times New Roman"/>
          <w:sz w:val="14"/>
          <w:szCs w:val="14"/>
          <w:color w:val="auto"/>
        </w:rPr>
        <w:t>The Common Shares and Series B Preferred Shares were issued and sold to former stockholders of Cullgen Inc., a Delaware corporation (“Cullgen”), in connection with our merger with Cullgen. We are not offering or selling any Resale Shares under this prospectus and will not receive any of the proceeds from the sale or other disposition of Resale Shares by the Selling Stockholders.</w:t>
      </w:r>
    </w:p>
    <w:p>
      <w:pPr>
        <w:spacing w:after="0" w:line="23" w:lineRule="exact"/>
        <w:rPr>
          <w:sz w:val="20"/>
          <w:szCs w:val="20"/>
          <w:color w:val="auto"/>
        </w:rPr>
      </w:pPr>
    </w:p>
    <w:p>
      <w:pPr>
        <w:jc w:val="both"/>
        <w:ind w:left="20" w:right="39" w:firstLine="339"/>
        <w:spacing w:after="0" w:line="238" w:lineRule="auto"/>
        <w:rPr>
          <w:sz w:val="20"/>
          <w:szCs w:val="20"/>
          <w:color w:val="auto"/>
        </w:rPr>
      </w:pPr>
      <w:r>
        <w:rPr>
          <w:rFonts w:ascii="Times New Roman" w:cs="Times New Roman" w:eastAsia="Times New Roman" w:hAnsi="Times New Roman"/>
          <w:sz w:val="14"/>
          <w:szCs w:val="14"/>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42" w:lineRule="exact"/>
        <w:rPr>
          <w:sz w:val="20"/>
          <w:szCs w:val="20"/>
          <w:color w:val="auto"/>
        </w:rPr>
      </w:pPr>
    </w:p>
    <w:p>
      <w:pPr>
        <w:jc w:val="both"/>
        <w:ind w:left="20" w:right="39" w:firstLine="339"/>
        <w:spacing w:after="0" w:line="268" w:lineRule="auto"/>
        <w:rPr>
          <w:sz w:val="20"/>
          <w:szCs w:val="20"/>
          <w:color w:val="auto"/>
        </w:rPr>
      </w:pPr>
      <w:r>
        <w:rPr>
          <w:rFonts w:ascii="Times New Roman" w:cs="Times New Roman" w:eastAsia="Times New Roman" w:hAnsi="Times New Roman"/>
          <w:sz w:val="14"/>
          <w:szCs w:val="14"/>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10" w:lineRule="exact"/>
        <w:rPr>
          <w:sz w:val="20"/>
          <w:szCs w:val="20"/>
          <w:color w:val="auto"/>
        </w:rPr>
      </w:pPr>
    </w:p>
    <w:p>
      <w:pPr>
        <w:jc w:val="both"/>
        <w:ind w:left="20" w:right="39" w:firstLine="339"/>
        <w:spacing w:after="0" w:line="268" w:lineRule="auto"/>
        <w:rPr>
          <w:sz w:val="20"/>
          <w:szCs w:val="20"/>
          <w:color w:val="auto"/>
        </w:rPr>
      </w:pPr>
      <w:r>
        <w:rPr>
          <w:rFonts w:ascii="Times New Roman" w:cs="Times New Roman" w:eastAsia="Times New Roman" w:hAnsi="Times New Roman"/>
          <w:sz w:val="14"/>
          <w:szCs w:val="14"/>
          <w:color w:val="auto"/>
        </w:rPr>
        <w:t>You should carefully read this prospectus and any applicable prospectus supplement, as well as any documents incorporated by reference herein or therein, before you invest in any of the securities being offered.</w:t>
      </w:r>
    </w:p>
    <w:p>
      <w:pPr>
        <w:spacing w:after="0" w:line="10" w:lineRule="exact"/>
        <w:rPr>
          <w:sz w:val="20"/>
          <w:szCs w:val="20"/>
          <w:color w:val="auto"/>
        </w:rPr>
      </w:pPr>
    </w:p>
    <w:p>
      <w:pPr>
        <w:jc w:val="both"/>
        <w:ind w:left="20" w:right="39" w:firstLine="339"/>
        <w:spacing w:after="0" w:line="233" w:lineRule="auto"/>
        <w:rPr>
          <w:sz w:val="20"/>
          <w:szCs w:val="20"/>
          <w:color w:val="auto"/>
        </w:rPr>
      </w:pPr>
      <w:r>
        <w:rPr>
          <w:rFonts w:ascii="Times New Roman" w:cs="Times New Roman" w:eastAsia="Times New Roman" w:hAnsi="Times New Roman"/>
          <w:sz w:val="14"/>
          <w:szCs w:val="14"/>
          <w:color w:val="auto"/>
        </w:rPr>
        <w:t>A significant portion of our business is operated through our indirectly majority-owned subsidiary in the People’s Republic of China (the “PRC”), Beijing Continent Pharmaceutical Co., Ltd. (d/b/a Gyre Pharmaceuticals Co., Ltd.) (“Gyre Pharmaceuticals”). Such structure involves unique legal and operational risks to investors in our Common Stock. In particular, the PRC government has significant authority to exert influence on the ability of a company with substantive operations in the PRC,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our Common Stock or could significantly limit or completely hinder our ability to offer or continue to offer our Common Stock to investors and cause the value of such Common Stock to significantly decline or become worthless. As we are a company with substantive business operations in the PRC, you should pay special attention to disclosures included in our most recent Annual Report on Form 10-K incorporated by reference in this prospectus and risk factors included herein.</w:t>
      </w:r>
    </w:p>
    <w:p>
      <w:pPr>
        <w:spacing w:after="0" w:line="45" w:lineRule="exact"/>
        <w:rPr>
          <w:sz w:val="20"/>
          <w:szCs w:val="20"/>
          <w:color w:val="auto"/>
        </w:rPr>
      </w:pPr>
    </w:p>
    <w:p>
      <w:pPr>
        <w:jc w:val="both"/>
        <w:ind w:left="20" w:right="39" w:firstLine="339"/>
        <w:spacing w:after="0"/>
        <w:rPr>
          <w:sz w:val="20"/>
          <w:szCs w:val="20"/>
          <w:color w:val="auto"/>
        </w:rPr>
      </w:pPr>
      <w:r>
        <w:rPr>
          <w:rFonts w:ascii="Times New Roman" w:cs="Times New Roman" w:eastAsia="Times New Roman" w:hAnsi="Times New Roman"/>
          <w:sz w:val="14"/>
          <w:szCs w:val="14"/>
          <w:color w:val="auto"/>
        </w:rPr>
        <w:t>In addition, our auditor is headquartered in mainland China, a jurisdiction where the Public Company Accounting Oversight Board (“PCAOB”) was unable to conduct inspections without the approval of the PRC authorities. Trading in our Common Stock on Nasdaq or over-the-counter may be prohibited, and as a result, our Common Stock may be delisted under the Holding Foreign Companies Accountable Act (“HFCAA”) if the PCAOB determines that it has been unable to inspect or investigate completely our auditor located in the PRC for two consecutive years. On December 16, 2021, the PCAOB issued the HFCAA Determination Report to notify the SEC of its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were not identified as a “Commission-Identified Issuer” under the HFCAA upon filing of our Annual Report on Form 10-K for the year ended December 31, 2025.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w:t>
      </w:r>
    </w:p>
    <w:p>
      <w:pPr>
        <w:spacing w:after="0" w:line="127" w:lineRule="exact"/>
        <w:rPr>
          <w:sz w:val="20"/>
          <w:szCs w:val="20"/>
          <w:color w:val="auto"/>
        </w:rPr>
      </w:pPr>
    </w:p>
    <w:p>
      <w:pPr>
        <w:jc w:val="both"/>
        <w:ind w:left="20" w:right="39" w:firstLine="339"/>
        <w:spacing w:after="0"/>
        <w:rPr>
          <w:sz w:val="20"/>
          <w:szCs w:val="20"/>
          <w:color w:val="auto"/>
        </w:rPr>
      </w:pPr>
      <w:r>
        <w:rPr>
          <w:rFonts w:ascii="Times New Roman" w:cs="Times New Roman" w:eastAsia="Times New Roman" w:hAnsi="Times New Roman"/>
          <w:sz w:val="14"/>
          <w:szCs w:val="14"/>
          <w:color w:val="auto"/>
        </w:rPr>
        <w:t>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w:t>
      </w:r>
    </w:p>
    <w:p>
      <w:pPr>
        <w:spacing w:after="0" w:line="159" w:lineRule="exact"/>
        <w:rPr>
          <w:sz w:val="20"/>
          <w:szCs w:val="20"/>
          <w:color w:val="auto"/>
        </w:rPr>
      </w:pPr>
    </w:p>
    <w:p>
      <w:pPr>
        <w:jc w:val="both"/>
        <w:ind w:left="20" w:right="39" w:firstLine="339"/>
        <w:spacing w:after="0" w:line="233" w:lineRule="auto"/>
        <w:rPr>
          <w:sz w:val="20"/>
          <w:szCs w:val="20"/>
          <w:color w:val="auto"/>
        </w:rPr>
      </w:pPr>
      <w:r>
        <w:rPr>
          <w:rFonts w:ascii="Times New Roman" w:cs="Times New Roman" w:eastAsia="Times New Roman" w:hAnsi="Times New Roman"/>
          <w:sz w:val="14"/>
          <w:szCs w:val="14"/>
          <w:color w:val="auto"/>
        </w:rPr>
        <w:t>The PRC government has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recently issued new laws and regulations to exert more oversight and control over overseas securities offerings and other capital markets activities and foreign investment in PRC-based companies.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“Risk Factors—Risks Related to Our Business Operations in the PRC” in our most recent Annual Report on Form 10-K incorporated by reference in this prospectus.</w:t>
      </w:r>
    </w:p>
    <w:p>
      <w:pPr>
        <w:spacing w:after="0" w:line="45" w:lineRule="exact"/>
        <w:rPr>
          <w:sz w:val="20"/>
          <w:szCs w:val="20"/>
          <w:color w:val="auto"/>
        </w:rPr>
      </w:pPr>
    </w:p>
    <w:p>
      <w:pPr>
        <w:jc w:val="both"/>
        <w:ind w:left="20" w:right="39" w:firstLine="339"/>
        <w:spacing w:after="0" w:line="268" w:lineRule="auto"/>
        <w:rPr>
          <w:sz w:val="20"/>
          <w:szCs w:val="20"/>
          <w:color w:val="auto"/>
        </w:rPr>
      </w:pPr>
      <w:r>
        <w:rPr>
          <w:rFonts w:ascii="Times New Roman" w:cs="Times New Roman" w:eastAsia="Times New Roman" w:hAnsi="Times New Roman"/>
          <w:sz w:val="14"/>
          <w:szCs w:val="14"/>
          <w:color w:val="auto"/>
        </w:rPr>
        <w:t>Our shares of Common Stock are listed on The Nasdaq Capital Market (“Nasdaq”) under the symbol “GYRE.” The last reported sale price of our Common Stock on Nasdaq on June 18, 2026 was $6.25 per share.</w:t>
      </w:r>
    </w:p>
    <w:p>
      <w:pPr>
        <w:spacing w:after="0" w:line="8" w:lineRule="exact"/>
        <w:rPr>
          <w:sz w:val="20"/>
          <w:szCs w:val="20"/>
          <w:color w:val="auto"/>
        </w:rPr>
      </w:pPr>
    </w:p>
    <w:p>
      <w:pPr>
        <w:jc w:val="both"/>
        <w:ind w:left="20" w:right="39" w:firstLine="339"/>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4"/>
          <w:szCs w:val="14"/>
          <w:b w:val="1"/>
          <w:bCs w:val="1"/>
          <w:u w:val="single" w:color="auto"/>
          <w:color w:val="0000EE"/>
        </w:rPr>
        <w:t>10</w:t>
      </w:r>
      <w:r>
        <w:rPr>
          <w:rFonts w:ascii="Times New Roman" w:cs="Times New Roman" w:eastAsia="Times New Roman" w:hAnsi="Times New Roman"/>
          <w:sz w:val="14"/>
          <w:szCs w:val="14"/>
          <w:b w:val="1"/>
          <w:bCs w:val="1"/>
          <w:color w:val="auto"/>
        </w:rPr>
        <w:t xml:space="preserve"> of this prospectus and any applicable prospectus supplement, and under similar headings in the other documents that are incorporated by reference into this prospectus.</w:t>
      </w:r>
    </w:p>
    <w:p>
      <w:pPr>
        <w:spacing w:after="0" w:line="21" w:lineRule="exact"/>
        <w:rPr>
          <w:sz w:val="20"/>
          <w:szCs w:val="20"/>
          <w:color w:val="auto"/>
        </w:rPr>
      </w:pPr>
    </w:p>
    <w:p>
      <w:pPr>
        <w:jc w:val="both"/>
        <w:ind w:left="20" w:right="39" w:firstLine="339"/>
        <w:spacing w:after="0" w:line="249"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65982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 w:name="page3"/>
    <w:bookmarkEnd w:id="2"/>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83"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0000EE"/>
            </w:tcBorders>
          </w:tcPr>
          <w:p>
            <w:pPr>
              <w:spacing w:after="0"/>
              <w:rPr>
                <w:sz w:val="18"/>
                <w:szCs w:val="18"/>
                <w:color w:val="auto"/>
              </w:rPr>
            </w:pPr>
          </w:p>
        </w:tc>
        <w:tc>
          <w:tcPr>
            <w:tcW w:w="2080" w:type="dxa"/>
            <w:vAlign w:val="bottom"/>
            <w:tcBorders>
              <w:bottom w:val="single" w:sz="8" w:color="0000EE"/>
            </w:tcBorders>
            <w:gridSpan w:val="8"/>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w w:val="97"/>
              </w:rPr>
              <w:t>ABOUT THIS PROSPECTUS</w:t>
            </w:r>
          </w:p>
        </w:tc>
        <w:tc>
          <w:tcPr>
            <w:tcW w:w="5460" w:type="dxa"/>
            <w:vAlign w:val="bottom"/>
            <w:tcBorders>
              <w:bottom w:val="single" w:sz="8" w:color="CCEEFF"/>
            </w:tcBorders>
            <w:gridSpan w:val="5"/>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7"/>
                <w:szCs w:val="17"/>
                <w:color w:val="0000EE"/>
                <w:w w:val="93"/>
              </w:rPr>
              <w:t>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gridSpan w:val="13"/>
          </w:tcPr>
          <w:p>
            <w:pPr>
              <w:spacing w:after="0" w:line="178" w:lineRule="exact"/>
              <w:rPr>
                <w:sz w:val="20"/>
                <w:szCs w:val="20"/>
                <w:color w:val="auto"/>
              </w:rPr>
            </w:pPr>
            <w:r>
              <w:rPr>
                <w:rFonts w:ascii="Times New Roman" w:cs="Times New Roman" w:eastAsia="Times New Roman" w:hAnsi="Times New Roman"/>
                <w:sz w:val="17"/>
                <w:szCs w:val="17"/>
                <w:color w:val="0000EE"/>
              </w:rPr>
              <w:t>CAUTIONARY STATEMENT CONCERNING FORWARD-LOOKING STATEMENTS</w:t>
            </w: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vMerge w:val="continue"/>
          </w:tcPr>
          <w:p>
            <w:pPr>
              <w:spacing w:after="0"/>
              <w:rPr>
                <w:sz w:val="18"/>
                <w:szCs w:val="18"/>
                <w:color w:val="auto"/>
              </w:rPr>
            </w:pPr>
          </w:p>
        </w:tc>
        <w:tc>
          <w:tcPr>
            <w:tcW w:w="1940" w:type="dxa"/>
            <w:vAlign w:val="bottom"/>
            <w:tcBorders>
              <w:bottom w:val="single" w:sz="8" w:color="0000EE"/>
            </w:tcBorders>
            <w:gridSpan w:val="6"/>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w w:val="96"/>
              </w:rPr>
              <w:t>PROSPECTUS SUMMARY</w:t>
            </w:r>
          </w:p>
        </w:tc>
        <w:tc>
          <w:tcPr>
            <w:tcW w:w="5600" w:type="dxa"/>
            <w:vAlign w:val="bottom"/>
            <w:tcBorders>
              <w:bottom w:val="single" w:sz="8" w:color="CCEEFF"/>
            </w:tcBorders>
            <w:gridSpan w:val="7"/>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0000EE"/>
                <w:w w:val="93"/>
              </w:rPr>
              <w:t>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gridSpan w:val="13"/>
          </w:tcPr>
          <w:p>
            <w:pPr>
              <w:spacing w:after="0" w:line="178" w:lineRule="exact"/>
              <w:rPr>
                <w:sz w:val="20"/>
                <w:szCs w:val="20"/>
                <w:color w:val="auto"/>
              </w:rPr>
            </w:pPr>
            <w:r>
              <w:rPr>
                <w:rFonts w:ascii="Times New Roman" w:cs="Times New Roman" w:eastAsia="Times New Roman" w:hAnsi="Times New Roman"/>
                <w:sz w:val="17"/>
                <w:szCs w:val="17"/>
                <w:color w:val="0000EE"/>
              </w:rPr>
              <w:t>RISK FACTORS</w:t>
            </w: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540" w:type="dxa"/>
            <w:vAlign w:val="bottom"/>
            <w:gridSpan w:val="1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rPr>
              <w:t>USE OF PROCEEDS</w:t>
            </w:r>
          </w:p>
        </w:tc>
        <w:tc>
          <w:tcPr>
            <w:tcW w:w="2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0000EE"/>
              </w:rPr>
              <w:t>12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540" w:type="dxa"/>
            <w:vAlign w:val="bottom"/>
            <w:gridSpan w:val="13"/>
          </w:tcPr>
          <w:p>
            <w:pPr>
              <w:spacing w:after="0" w:line="178" w:lineRule="exact"/>
              <w:rPr>
                <w:sz w:val="20"/>
                <w:szCs w:val="20"/>
                <w:color w:val="auto"/>
              </w:rPr>
            </w:pPr>
            <w:r>
              <w:rPr>
                <w:rFonts w:ascii="Times New Roman" w:cs="Times New Roman" w:eastAsia="Times New Roman" w:hAnsi="Times New Roman"/>
                <w:sz w:val="17"/>
                <w:szCs w:val="17"/>
                <w:color w:val="0000EE"/>
              </w:rPr>
              <w:t>SELLING STOCKHOLDERS</w:t>
            </w: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680" w:type="dxa"/>
            <w:vAlign w:val="bottom"/>
            <w:gridSpan w:val="9"/>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w w:val="97"/>
              </w:rPr>
              <w:t>DESCRIPTION OF CAPITAL STOCK</w:t>
            </w:r>
          </w:p>
        </w:tc>
        <w:tc>
          <w:tcPr>
            <w:tcW w:w="4860" w:type="dxa"/>
            <w:vAlign w:val="bottom"/>
            <w:gridSpan w:val="4"/>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0000EE"/>
              </w:rPr>
              <w:t>16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680" w:type="dxa"/>
            <w:vAlign w:val="bottom"/>
            <w:gridSpan w:val="9"/>
          </w:tcPr>
          <w:p>
            <w:pPr>
              <w:spacing w:after="0" w:line="178" w:lineRule="exact"/>
              <w:rPr>
                <w:sz w:val="20"/>
                <w:szCs w:val="20"/>
                <w:color w:val="auto"/>
              </w:rPr>
            </w:pPr>
            <w:r>
              <w:rPr>
                <w:rFonts w:ascii="Times New Roman" w:cs="Times New Roman" w:eastAsia="Times New Roman" w:hAnsi="Times New Roman"/>
                <w:sz w:val="17"/>
                <w:szCs w:val="17"/>
                <w:color w:val="0000EE"/>
              </w:rPr>
              <w:t>PLAN OF DISTRIBUTION</w:t>
            </w:r>
          </w:p>
        </w:tc>
        <w:tc>
          <w:tcPr>
            <w:tcW w:w="4860" w:type="dxa"/>
            <w:vAlign w:val="bottom"/>
            <w:gridSpan w:val="4"/>
          </w:tcPr>
          <w:p>
            <w:pPr>
              <w:spacing w:after="0"/>
              <w:rPr>
                <w:sz w:val="15"/>
                <w:szCs w:val="15"/>
                <w:color w:val="auto"/>
              </w:rPr>
            </w:pP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540" w:type="dxa"/>
            <w:vAlign w:val="bottom"/>
            <w:gridSpan w:val="1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rPr>
              <w:t>LEGAL MATTERS</w:t>
            </w:r>
          </w:p>
        </w:tc>
        <w:tc>
          <w:tcPr>
            <w:tcW w:w="2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0000EE"/>
              </w:rPr>
              <w:t>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1340" w:type="dxa"/>
            <w:vAlign w:val="bottom"/>
            <w:gridSpan w:val="3"/>
          </w:tcPr>
          <w:p>
            <w:pPr>
              <w:spacing w:after="0" w:line="178" w:lineRule="exact"/>
              <w:rPr>
                <w:sz w:val="20"/>
                <w:szCs w:val="20"/>
                <w:color w:val="auto"/>
              </w:rPr>
            </w:pPr>
            <w:r>
              <w:rPr>
                <w:rFonts w:ascii="Times New Roman" w:cs="Times New Roman" w:eastAsia="Times New Roman" w:hAnsi="Times New Roman"/>
                <w:sz w:val="17"/>
                <w:szCs w:val="17"/>
                <w:color w:val="0000EE"/>
              </w:rPr>
              <w:t>EXPERTS</w:t>
            </w:r>
          </w:p>
        </w:tc>
        <w:tc>
          <w:tcPr>
            <w:tcW w:w="6200" w:type="dxa"/>
            <w:vAlign w:val="bottom"/>
            <w:gridSpan w:val="10"/>
          </w:tcPr>
          <w:p>
            <w:pPr>
              <w:spacing w:after="0"/>
              <w:rPr>
                <w:sz w:val="15"/>
                <w:szCs w:val="15"/>
                <w:color w:val="auto"/>
              </w:rPr>
            </w:pP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540" w:type="dxa"/>
            <w:vAlign w:val="bottom"/>
            <w:gridSpan w:val="13"/>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26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0000EE"/>
              </w:rPr>
              <w:t>24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860" w:type="dxa"/>
            <w:vAlign w:val="bottom"/>
            <w:gridSpan w:val="11"/>
          </w:tcPr>
          <w:p>
            <w:pPr>
              <w:spacing w:after="0" w:line="178" w:lineRule="exact"/>
              <w:rPr>
                <w:sz w:val="20"/>
                <w:szCs w:val="20"/>
                <w:color w:val="auto"/>
              </w:rPr>
            </w:pPr>
            <w:r>
              <w:rPr>
                <w:rFonts w:ascii="Times New Roman" w:cs="Times New Roman" w:eastAsia="Times New Roman" w:hAnsi="Times New Roman"/>
                <w:sz w:val="17"/>
                <w:szCs w:val="17"/>
                <w:color w:val="0000EE"/>
                <w:w w:val="97"/>
              </w:rPr>
              <w:t>INCORPORATION OF CERTAIN INFORMATION BY REFERENCE</w:t>
            </w:r>
          </w:p>
        </w:tc>
        <w:tc>
          <w:tcPr>
            <w:tcW w:w="2680" w:type="dxa"/>
            <w:vAlign w:val="bottom"/>
            <w:gridSpan w:val="2"/>
          </w:tcPr>
          <w:p>
            <w:pPr>
              <w:spacing w:after="0"/>
              <w:rPr>
                <w:sz w:val="15"/>
                <w:szCs w:val="15"/>
                <w:color w:val="auto"/>
              </w:rPr>
            </w:pPr>
          </w:p>
        </w:tc>
        <w:tc>
          <w:tcPr>
            <w:tcW w:w="2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0000EE"/>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 w:name="page4"/>
    <w:bookmarkEnd w:id="3"/>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4"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w:t>
      </w:r>
    </w:p>
    <w:p>
      <w:pPr>
        <w:spacing w:after="0" w:line="73"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the Selling Stockholders may offer. Each time the Selling Stockholders sell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this prospectus before making an investment in shares of our Common Stock. See “Where You Can Find More Information” for more information.</w:t>
      </w:r>
    </w:p>
    <w:p>
      <w:pPr>
        <w:spacing w:after="0" w:line="76" w:lineRule="exact"/>
        <w:rPr>
          <w:sz w:val="20"/>
          <w:szCs w:val="20"/>
          <w:color w:val="auto"/>
        </w:rPr>
      </w:pPr>
    </w:p>
    <w:p>
      <w:pPr>
        <w:jc w:val="both"/>
        <w:ind w:left="540" w:right="539" w:firstLine="339"/>
        <w:spacing w:after="0" w:line="270" w:lineRule="auto"/>
        <w:rPr>
          <w:sz w:val="20"/>
          <w:szCs w:val="20"/>
          <w:color w:val="auto"/>
        </w:rPr>
      </w:pPr>
      <w:r>
        <w:rPr>
          <w:rFonts w:ascii="Times New Roman" w:cs="Times New Roman" w:eastAsia="Times New Roman" w:hAnsi="Times New Roman"/>
          <w:sz w:val="16"/>
          <w:szCs w:val="16"/>
          <w:color w:val="auto"/>
        </w:rPr>
        <w:t>This prospectus contains and incorporates by reference information that you should consider when making your investment decision. Neither we nor the Selling Stockholders have authorized anyone to give any information or to make any representation other than those contained or incorporated by reference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and any related free writing prospectus is accurate only as of their respective dates. Our business, financial condition, results of operations and prospects may have changed materially since those dates.</w:t>
      </w:r>
    </w:p>
    <w:p>
      <w:pPr>
        <w:spacing w:after="0" w:line="66"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68"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w:t>
      </w:r>
    </w:p>
    <w:p>
      <w:pPr>
        <w:spacing w:after="0" w:line="73" w:lineRule="exact"/>
        <w:rPr>
          <w:sz w:val="20"/>
          <w:szCs w:val="20"/>
          <w:color w:val="auto"/>
        </w:rPr>
      </w:pPr>
    </w:p>
    <w:p>
      <w:pPr>
        <w:jc w:val="both"/>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In this prospectus, unless otherwise indicated or the context otherwise requires, the terms “Company,” “we,” “us” and “our” refer to Gyre Therapeutics, Inc. and, where appropriate, our subsidiaries.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 w:name="page5"/>
    <w:bookmarkEnd w:id="4"/>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CONCERNING FORWARD-LOOKING STATEMENTS</w:t>
      </w:r>
    </w:p>
    <w:p>
      <w:pPr>
        <w:spacing w:after="0" w:line="114" w:lineRule="exact"/>
        <w:rPr>
          <w:sz w:val="20"/>
          <w:szCs w:val="20"/>
          <w:color w:val="auto"/>
        </w:rPr>
      </w:pPr>
    </w:p>
    <w:p>
      <w:pPr>
        <w:jc w:val="both"/>
        <w:ind w:left="540" w:right="539" w:firstLine="339"/>
        <w:spacing w:after="0" w:line="269" w:lineRule="auto"/>
        <w:rPr>
          <w:sz w:val="20"/>
          <w:szCs w:val="20"/>
          <w:color w:val="auto"/>
        </w:rPr>
      </w:pPr>
      <w:r>
        <w:rPr>
          <w:rFonts w:ascii="Times New Roman" w:cs="Times New Roman" w:eastAsia="Times New Roman" w:hAnsi="Times New Roman"/>
          <w:sz w:val="16"/>
          <w:szCs w:val="16"/>
          <w:color w:val="auto"/>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including statements concerning our plans, objectives, goals, strategies, future events, future revenues or performance, financing needs, business trends and other information referred to in the section entitled “Risk Factors” in this prospectus and the sections entitled “Business,” “Risk Factors” and “Management’s Discussion and Analysis of Financial Condition and Results of Operations” in our Annual Report on Form 10-K for the year ended December 31, 2025, which is incorporated by reference herein, are forward-looking statements. Forward-looking statements generally relate to future events or our future financial or operating performance. In some cases, you can identify forward-looking statements by terms such as “may,” “might,” “will,” “objective,” “intend,” “should,” “could,” “can,” “would,” “expect,” “believe,” “design,” “estimate,” “predict,” “potential,” “plan,” “anticipate,” “target,” “forecast,” or the negative of these terms, and similar expressions intended to identify forward-looking statements. Forward-looking statements are not historical facts and reflect our current views with respect to future events and are based on assumptions and subject to risks and uncertainties. Given these uncertainties, you should not place undue reliance on these forward-looking statements.</w:t>
      </w:r>
    </w:p>
    <w:p>
      <w:pPr>
        <w:spacing w:after="0" w:line="65"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in “Risk Factors,” and the following risks, uncertainties and factors:</w:t>
      </w:r>
    </w:p>
    <w:p>
      <w:pPr>
        <w:spacing w:after="0" w:line="73" w:lineRule="exact"/>
        <w:rPr>
          <w:sz w:val="20"/>
          <w:szCs w:val="20"/>
          <w:color w:val="auto"/>
        </w:rPr>
      </w:pPr>
    </w:p>
    <w:p>
      <w:pPr>
        <w:ind w:left="1200" w:hanging="330"/>
        <w:spacing w:after="0"/>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conduct extensive clinical trials to demonstrate safety and efficacy of our product candidates;</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 pipeline of product candidates to address unmet needs in the treatment of organ fibrosis and other inflammatory diseases;</w:t>
      </w:r>
    </w:p>
    <w:p>
      <w:pPr>
        <w:spacing w:after="0" w:line="54" w:lineRule="exact"/>
        <w:rPr>
          <w:rFonts w:ascii="Times New Roman" w:cs="Times New Roman" w:eastAsia="Times New Roman" w:hAnsi="Times New Roman"/>
          <w:sz w:val="17"/>
          <w:szCs w:val="17"/>
          <w:color w:val="auto"/>
        </w:rPr>
      </w:pPr>
    </w:p>
    <w:p>
      <w:pPr>
        <w:jc w:val="both"/>
        <w:ind w:left="1200" w:right="539" w:hanging="330"/>
        <w:spacing w:after="0" w:line="223"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clinical trials for: (i) F351 (hydronidone) from the Phase 2 trial in the United States for the treatment of metabolic dysfunction-associated steatohepatitis (“MASH”) associated liver fibrosis; (ii) ETUARY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from the Phase 3 clinical trial in the PRC for pneumoconiosis (“PD”); (iii) ETUARY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from an adaptive Phase 2/3 trial in the PRC for radiation-induced lung injury (“RILI”) with or without immune-related pneumonitis; (iv) F573 from the Phase 2 clinical trial in the PRC for the treatment of acute/acute-on-chronic liver failure (“ALF/ACLF”); (v) F230 from the Phase 1 clinical trial in the PRC for the treatment of pulmonary arterial hypertension (“PAH”); and (vi) other product candidates we may develop, including F528, including statements regarding the timing of initiation and completion of studies or trials and related preparatory work, the period during which the results of the studies or trials will become available and research and development programs;</w:t>
      </w:r>
    </w:p>
    <w:p>
      <w:pPr>
        <w:spacing w:after="0" w:line="87" w:lineRule="exact"/>
        <w:rPr>
          <w:rFonts w:ascii="Times New Roman" w:cs="Times New Roman" w:eastAsia="Times New Roman" w:hAnsi="Times New Roman"/>
          <w:sz w:val="17"/>
          <w:szCs w:val="17"/>
          <w:color w:val="auto"/>
        </w:rPr>
      </w:pPr>
    </w:p>
    <w:p>
      <w:pPr>
        <w:jc w:val="both"/>
        <w:ind w:left="1200" w:right="539" w:hanging="330"/>
        <w:spacing w:after="0" w:line="228"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scope and likelihood of U.S., PRC and comparable foreign regulatory filings and approvals, including timing of investigational new drug (“IND”) applications and final U.S. Food and Drug Administration (“FDA”) and National Medical Products Administration (“NMPA”) approval of F351 for the treatment of liver fibrosis associated with MASH and chronic hepatitis B (“CHB”), respectively, ETUARY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for the treatment of PD and RILI, F528 for the treatment of chronic obstructive pulmonary disease (“COPD”), F230 for the treatment of PAH, and any other future product candidates;</w:t>
      </w:r>
    </w:p>
    <w:p>
      <w:pPr>
        <w:spacing w:after="0" w:line="89" w:lineRule="exact"/>
        <w:rPr>
          <w:rFonts w:ascii="Times New Roman" w:cs="Times New Roman" w:eastAsia="Times New Roman" w:hAnsi="Times New Roman"/>
          <w:sz w:val="17"/>
          <w:szCs w:val="17"/>
          <w:color w:val="auto"/>
        </w:rPr>
      </w:pPr>
    </w:p>
    <w:p>
      <w:pPr>
        <w:jc w:val="both"/>
        <w:ind w:left="1200" w:right="539" w:hanging="330"/>
        <w:spacing w:after="0" w:line="257"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future pursuit of product development efforts, including whether we will pursue such efforts, estimates regarding the expenses, future revenue, timing of any future revenue, capital requirements and need for additional financing related to such efforts, the timing of and our ability to pursue such efforts and our plans to develop and, if approved, subsequently commercialize any product candidates resulting from such efforts;</w:t>
      </w:r>
    </w:p>
    <w:p>
      <w:pPr>
        <w:spacing w:after="0" w:line="73"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fund our operating expenses and capital expenditure requirements with our cash and investments;</w:t>
      </w:r>
    </w:p>
    <w:p>
      <w:pPr>
        <w:spacing w:after="0" w:line="54"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advance current product candidates and programs into, and successfully complete, clinical studies;</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commercialization and marketing capabilities and strategy;</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if approved, including the geographic areas of focus and sales strategy;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 w:name="page6"/>
    <w:bookmarkEnd w:id="5"/>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hire additional personnel and our ability to attract and retain such personnel;</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market opportunity for our product candidates, including estimates of the number of patients who suffer from the diseases we are targeting;</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approval and use of our product candidates in combination with other drugs;</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the potential for accelerated approval or other expedited regulatory designation;</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the success of competing therapies that are or may become available;</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the number of patients that we will enroll in our clinical trials;</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beneficial characteristics and the potential safety, efficacy and therapeutic effects of our product candidates;</w:t>
      </w:r>
    </w:p>
    <w:p>
      <w:pPr>
        <w:spacing w:after="0" w:line="54"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of our product candidates and our expectations regarding particular lines of therapy;</w:t>
      </w:r>
    </w:p>
    <w:p>
      <w:pPr>
        <w:spacing w:after="0" w:line="54"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relating to the further development of our product candidates, including additional indications we may pursue;</w:t>
      </w:r>
    </w:p>
    <w:p>
      <w:pPr>
        <w:spacing w:after="0" w:line="54"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regulations and regulatory developments in the PRC, the United States, Europe, and other jurisdictions;</w:t>
      </w:r>
    </w:p>
    <w:p>
      <w:pPr>
        <w:spacing w:after="0" w:line="54" w:lineRule="exact"/>
        <w:rPr>
          <w:rFonts w:ascii="Times New Roman" w:cs="Times New Roman" w:eastAsia="Times New Roman" w:hAnsi="Times New Roman"/>
          <w:sz w:val="17"/>
          <w:szCs w:val="17"/>
          <w:color w:val="auto"/>
        </w:rPr>
      </w:pPr>
    </w:p>
    <w:p>
      <w:pPr>
        <w:jc w:val="both"/>
        <w:ind w:left="1200" w:right="539" w:hanging="330"/>
        <w:spacing w:after="0" w:line="208"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including the scope of protection we are able to establish and maintain for intellectual property rights covering ETUARY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Etorel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(nintedanib ethanesulfonate soft capsules), Contiva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(avatrombopag maleate tablets), F351, F573, F528, and F230,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8"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reliance on third parties to conduct additional clinical trials of our product candidates and for the manufacture of our product candidates for clinical trials;</w:t>
      </w:r>
    </w:p>
    <w:p>
      <w:pPr>
        <w:spacing w:after="0" w:line="54"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relationships with patient advocacy groups, key opinion leaders, regulators, the research community and payors;</w:t>
      </w:r>
    </w:p>
    <w:p>
      <w:pPr>
        <w:spacing w:after="0" w:line="54"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negotiate favorable terms of, any collaboration, licensing or other arrangements that may be necessary or desirable to develop, manufacture or commercialize our product candidates;</w:t>
      </w:r>
    </w:p>
    <w:p>
      <w:pPr>
        <w:spacing w:after="0" w:line="54" w:lineRule="exact"/>
        <w:rPr>
          <w:rFonts w:ascii="Times New Roman" w:cs="Times New Roman" w:eastAsia="Times New Roman" w:hAnsi="Times New Roman"/>
          <w:sz w:val="17"/>
          <w:szCs w:val="17"/>
          <w:color w:val="auto"/>
        </w:rPr>
      </w:pPr>
    </w:p>
    <w:p>
      <w:pPr>
        <w:jc w:val="both"/>
        <w:ind w:left="1200" w:right="559" w:hanging="330"/>
        <w:spacing w:after="0" w:line="210"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reimbursement of, and potential impact of the PRC’s national centralized drug procurement policy on ETUARY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Etorel</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Contiva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F351, F573, F528, and F230, and other product candidates we may develop, if approved and commercialized;</w:t>
      </w:r>
    </w:p>
    <w:p>
      <w:pPr>
        <w:spacing w:after="0" w:line="89"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F351, and other product candidates we may develop;</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10" w:lineRule="exact"/>
        <w:rPr>
          <w:rFonts w:ascii="Times New Roman" w:cs="Times New Roman" w:eastAsia="Times New Roman" w:hAnsi="Times New Roman"/>
          <w:sz w:val="17"/>
          <w:szCs w:val="17"/>
          <w:color w:val="auto"/>
        </w:rPr>
      </w:pPr>
    </w:p>
    <w:p>
      <w:pPr>
        <w:jc w:val="both"/>
        <w:ind w:left="1200" w:right="539" w:hanging="330"/>
        <w:spacing w:after="0" w:line="255"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conditions, including new or increased tariffs imposed by the U.S. government and potential retaliatory measures by foreign governments and other barriers to trade, trade and other international disputes, inflation and fluctuating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 areas, government shutdowns, political and military conflict;</w:t>
      </w:r>
    </w:p>
    <w:p>
      <w:pPr>
        <w:spacing w:after="0" w:line="74"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over which we estimate our existing cash will be sufficient to fund our planned operating expenses and capital expenditure requirements;</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about the continued listing of our Common Stock on Nasdaq;</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and regulations;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 w:name="page7"/>
    <w:bookmarkEnd w:id="6"/>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1200" w:right="559" w:hanging="330"/>
        <w:spacing w:after="0" w:line="264" w:lineRule="auto"/>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against us, Cullgen, or any of each company’s respective directors or officers related to the Merger Agreement (as defined herein) or the transactions contemplated thereby; and</w:t>
      </w:r>
    </w:p>
    <w:p>
      <w:pPr>
        <w:spacing w:after="0" w:line="68"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Approval.</w:t>
      </w:r>
    </w:p>
    <w:p>
      <w:pPr>
        <w:spacing w:after="0" w:line="110" w:lineRule="exact"/>
        <w:rPr>
          <w:sz w:val="20"/>
          <w:szCs w:val="20"/>
          <w:color w:val="auto"/>
        </w:rPr>
      </w:pPr>
    </w:p>
    <w:p>
      <w:pPr>
        <w:jc w:val="both"/>
        <w:ind w:left="540" w:right="539" w:firstLine="339"/>
        <w:spacing w:after="0" w:line="257" w:lineRule="auto"/>
        <w:rPr>
          <w:sz w:val="20"/>
          <w:szCs w:val="20"/>
          <w:color w:val="auto"/>
        </w:rPr>
      </w:pPr>
      <w:r>
        <w:rPr>
          <w:rFonts w:ascii="Times New Roman" w:cs="Times New Roman" w:eastAsia="Times New Roman" w:hAnsi="Times New Roman"/>
          <w:sz w:val="17"/>
          <w:szCs w:val="17"/>
          <w:color w:val="auto"/>
        </w:rPr>
        <w:t>There may be other factors that may cause our actual results to differ materially from the forward-looking statements, including factors disclosed in “Risk Factors” and “Management’s Discussion and Analysis of Financial Condition and Results of Operations” in our most recent annual report on Form 10-K and subsequent quarterly reports on Form 10-Q, which are incorporated by reference herein. You should evaluate all forward-looking statements made in this prospectus in the context of these risks and uncertainties.</w:t>
      </w:r>
    </w:p>
    <w:p>
      <w:pPr>
        <w:spacing w:after="0" w:line="74"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These factors should not be construed as exhaustive and should be read in conjunction with the other cautionary statements that are included in this prospectus, any accompanying prospectus supplement, information incorporated by reference herein or therein, and any related free-writing prospectus. In addition, we cannot assure you that we will realize the results, benefits or developments that we expect or anticipate or, even if substantially realized, that they will result in the consequences or affect us or our business in the way expected. All forward-looking statements contained in this prospectus are made as of the date hereof and we undertake no obligation to publicly update or review any forward-looking statements to reflect subsequent events or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80645</wp:posOffset>
            </wp:positionV>
            <wp:extent cx="5325110" cy="763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5110" cy="763778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10" w:lineRule="exact"/>
        <w:rPr>
          <w:sz w:val="20"/>
          <w:szCs w:val="20"/>
          <w:color w:val="auto"/>
        </w:rPr>
      </w:pPr>
    </w:p>
    <w:p>
      <w:pPr>
        <w:jc w:val="both"/>
        <w:ind w:left="540" w:right="519" w:firstLine="340"/>
        <w:spacing w:after="0" w:line="254"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or incorporated by reference in this prospectus. This summary does not contain all of the information that you should consider before deciding to invest in our Common Stock. You should read the entire prospectus, including the information incorporated by reference herein, carefully, including the section titled “Risk Factors” contained in this prospectus, and under similar headings in the other documents that are incorporated by reference into this prospectus, and our financial statements and notes thereto included in our Annual Report on Form 10-K for the year ended December 31, 2025, and in our subsequent Quarterly Reports on Form 10-Q, which are incorporated by reference herein, before making an investment decision. Some of the statements in this summary constitute forward-looking statements; see “Cautionary Statement Concerning Forward-Looking Statements.”</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4" w:lineRule="exact"/>
        <w:rPr>
          <w:sz w:val="20"/>
          <w:szCs w:val="20"/>
          <w:color w:val="auto"/>
        </w:rPr>
      </w:pPr>
    </w:p>
    <w:p>
      <w:pPr>
        <w:jc w:val="both"/>
        <w:ind w:left="540" w:right="519" w:firstLine="340"/>
        <w:spacing w:after="0" w:line="259" w:lineRule="auto"/>
        <w:rPr>
          <w:sz w:val="20"/>
          <w:szCs w:val="20"/>
          <w:color w:val="auto"/>
        </w:rPr>
      </w:pPr>
      <w:r>
        <w:rPr>
          <w:rFonts w:ascii="Times New Roman" w:cs="Times New Roman" w:eastAsia="Times New Roman" w:hAnsi="Times New Roman"/>
          <w:sz w:val="17"/>
          <w:szCs w:val="17"/>
          <w:color w:val="auto"/>
        </w:rPr>
        <w:t>We are a commercial-stage biopharmaceutical company focused on the development and commercialization of small-molecule therapies for the treatment of organ fibrosis and inflammatory diseases. We operate through our majority indirectly owned subsidiary, Gyre Pharmaceuticals, in the PRC, and through our U.S. operations headquartered in San Diego, California.</w:t>
      </w:r>
    </w:p>
    <w:p>
      <w:pPr>
        <w:spacing w:after="0" w:line="69" w:lineRule="exact"/>
        <w:rPr>
          <w:sz w:val="20"/>
          <w:szCs w:val="20"/>
          <w:color w:val="auto"/>
        </w:rPr>
      </w:pPr>
    </w:p>
    <w:p>
      <w:pPr>
        <w:jc w:val="both"/>
        <w:ind w:left="540" w:right="519" w:firstLine="340"/>
        <w:spacing w:after="0" w:line="258" w:lineRule="auto"/>
        <w:rPr>
          <w:sz w:val="20"/>
          <w:szCs w:val="20"/>
          <w:color w:val="auto"/>
        </w:rPr>
      </w:pPr>
      <w:r>
        <w:rPr>
          <w:rFonts w:ascii="Times New Roman" w:cs="Times New Roman" w:eastAsia="Times New Roman" w:hAnsi="Times New Roman"/>
          <w:sz w:val="17"/>
          <w:szCs w:val="17"/>
          <w:color w:val="auto"/>
        </w:rPr>
        <w:t>As described under “</w:t>
      </w:r>
      <w:r>
        <w:rPr>
          <w:rFonts w:ascii="Times New Roman" w:cs="Times New Roman" w:eastAsia="Times New Roman" w:hAnsi="Times New Roman"/>
          <w:sz w:val="17"/>
          <w:szCs w:val="17"/>
          <w:i w:val="1"/>
          <w:iCs w:val="1"/>
          <w:color w:val="auto"/>
        </w:rPr>
        <w:t>Recent Developments—Merger with Cullgen</w:t>
      </w:r>
      <w:r>
        <w:rPr>
          <w:rFonts w:ascii="Times New Roman" w:cs="Times New Roman" w:eastAsia="Times New Roman" w:hAnsi="Times New Roman"/>
          <w:sz w:val="17"/>
          <w:szCs w:val="17"/>
          <w:color w:val="auto"/>
        </w:rPr>
        <w:t>,” we entered into the Merger Agreement with Cullgen and Merger Sub (as defined herein). The Merger (as defined herein) closed on May 4, 2026. Following the closing of the Merger, the new combined entity is a fully integrated biopharmaceutical company with U.S.- and China-based capabilities spanning from discovery to manufacturing and commercialization and covering multiple therapeutic areas including inflammatory diseases, cancers and pain.</w:t>
      </w:r>
    </w:p>
    <w:p>
      <w:pPr>
        <w:spacing w:after="0" w:line="74" w:lineRule="exact"/>
        <w:rPr>
          <w:sz w:val="20"/>
          <w:szCs w:val="20"/>
          <w:color w:val="auto"/>
        </w:rPr>
      </w:pPr>
    </w:p>
    <w:p>
      <w:pPr>
        <w:jc w:val="both"/>
        <w:ind w:left="540" w:right="519" w:firstLine="340"/>
        <w:spacing w:after="0" w:line="255" w:lineRule="auto"/>
        <w:rPr>
          <w:sz w:val="20"/>
          <w:szCs w:val="20"/>
          <w:color w:val="auto"/>
        </w:rPr>
      </w:pPr>
      <w:r>
        <w:rPr>
          <w:rFonts w:ascii="Times New Roman" w:cs="Times New Roman" w:eastAsia="Times New Roman" w:hAnsi="Times New Roman"/>
          <w:sz w:val="17"/>
          <w:szCs w:val="17"/>
          <w:color w:val="auto"/>
        </w:rPr>
        <w:t>Cullgen is a clinical-stage biopharmaceutical company focused on the discovery and development of targeted protein degrader and degrader-antibody conjugates therapies designed to improve the lives of patients suffering from critical conditions such as pain, cancer and inflammatory diseases. Cullgen has created a portfolio of highly selective targeted protein degrader product candidates designed to potently and efficiently eliminate therapeutically relevant proteins in patients. By leveraging its expertise in targeted protein degraders, Cullgen believes its product candidates have many distinct advantages over other therapeutic modalities, including higher selectivity, improved therapeutic profile and avoidance of known toxicities.</w:t>
      </w:r>
    </w:p>
    <w:p>
      <w:pPr>
        <w:spacing w:after="0" w:line="74" w:lineRule="exact"/>
        <w:rPr>
          <w:sz w:val="20"/>
          <w:szCs w:val="20"/>
          <w:color w:val="auto"/>
        </w:rPr>
      </w:pPr>
    </w:p>
    <w:p>
      <w:pPr>
        <w:jc w:val="both"/>
        <w:ind w:left="540" w:right="519" w:firstLine="340"/>
        <w:spacing w:after="0" w:line="259" w:lineRule="auto"/>
        <w:rPr>
          <w:sz w:val="20"/>
          <w:szCs w:val="20"/>
          <w:color w:val="auto"/>
        </w:rPr>
      </w:pPr>
      <w:r>
        <w:rPr>
          <w:rFonts w:ascii="Times New Roman" w:cs="Times New Roman" w:eastAsia="Times New Roman" w:hAnsi="Times New Roman"/>
          <w:sz w:val="17"/>
          <w:szCs w:val="17"/>
          <w:color w:val="auto"/>
        </w:rPr>
        <w:t>We are reviewing our programs and evaluating our pipeline and clinical development strategy, including in connection with the Cullgen acquisition, to optimize capital allocation and prioritize programs across the organization. As a result of the Cullgen acquisition, we intend to leverage Cullgen’s capabilities in the PRC for the development and early-stage clinical trials of various product candidates.</w:t>
      </w:r>
    </w:p>
    <w:p>
      <w:pPr>
        <w:spacing w:after="0" w:line="73" w:lineRule="exact"/>
        <w:rPr>
          <w:sz w:val="20"/>
          <w:szCs w:val="20"/>
          <w:color w:val="auto"/>
        </w:rPr>
      </w:pPr>
    </w:p>
    <w:p>
      <w:pPr>
        <w:jc w:val="both"/>
        <w:ind w:left="540" w:right="539" w:firstLine="340"/>
        <w:spacing w:after="0" w:line="264" w:lineRule="auto"/>
        <w:rPr>
          <w:sz w:val="20"/>
          <w:szCs w:val="20"/>
          <w:color w:val="auto"/>
        </w:rPr>
      </w:pPr>
      <w:r>
        <w:rPr>
          <w:rFonts w:ascii="Times New Roman" w:cs="Times New Roman" w:eastAsia="Times New Roman" w:hAnsi="Times New Roman"/>
          <w:sz w:val="17"/>
          <w:szCs w:val="17"/>
          <w:color w:val="auto"/>
        </w:rPr>
        <w:t>Cullgen faces various risks and uncertainties related to doing business in the PRC. A significant portion of Cullgen’s business is operated through Cullgen’s wholly owned subsidiary, Cullgen (Shanghai), Inc. (“Cullgen Shanghai”), a company organized under the laws of the PRC.</w:t>
      </w:r>
    </w:p>
    <w:p>
      <w:pPr>
        <w:spacing w:after="0" w:line="68" w:lineRule="exact"/>
        <w:rPr>
          <w:sz w:val="20"/>
          <w:szCs w:val="20"/>
          <w:color w:val="auto"/>
        </w:rPr>
      </w:pPr>
    </w:p>
    <w:p>
      <w:pPr>
        <w:jc w:val="both"/>
        <w:ind w:left="540" w:right="519" w:firstLine="340"/>
        <w:spacing w:after="0" w:line="254" w:lineRule="auto"/>
        <w:rPr>
          <w:sz w:val="20"/>
          <w:szCs w:val="20"/>
          <w:color w:val="auto"/>
        </w:rPr>
      </w:pPr>
      <w:r>
        <w:rPr>
          <w:rFonts w:ascii="Times New Roman" w:cs="Times New Roman" w:eastAsia="Times New Roman" w:hAnsi="Times New Roman"/>
          <w:sz w:val="17"/>
          <w:szCs w:val="17"/>
          <w:color w:val="auto"/>
        </w:rPr>
        <w:t>Applicable PRC laws and regulations may be tightened, and new laws or regulations may be introduced to impose additional government approval, license, and permit requirements. If Cullgen or Cullgen Shanghai fail to obtain and maintain such approvals, licenses, or permits required for its business, inadvertently conclude that such approval is not required, or respond to changes in the regulatory environment Cullgen or Cullgen Shanghai could be subject to liabilities, penalties, and operational disruption, which may materially and adversely affect its business, operating results, financial condition and the value of Common Stock following the Merger, significantly limit or completely hinder our ability to offer or continue to offer securities to investors, or cause such securities to significantly decline in value or become worthless.</w:t>
      </w:r>
    </w:p>
    <w:p>
      <w:pPr>
        <w:spacing w:after="0" w:line="77" w:lineRule="exact"/>
        <w:rPr>
          <w:sz w:val="20"/>
          <w:szCs w:val="20"/>
          <w:color w:val="auto"/>
        </w:rPr>
      </w:pPr>
    </w:p>
    <w:p>
      <w:pPr>
        <w:jc w:val="both"/>
        <w:ind w:left="540" w:right="519" w:firstLine="340"/>
        <w:spacing w:after="0" w:line="264" w:lineRule="auto"/>
        <w:rPr>
          <w:sz w:val="20"/>
          <w:szCs w:val="20"/>
          <w:color w:val="auto"/>
        </w:rPr>
      </w:pPr>
      <w:r>
        <w:rPr>
          <w:rFonts w:ascii="Times New Roman" w:cs="Times New Roman" w:eastAsia="Times New Roman" w:hAnsi="Times New Roman"/>
          <w:sz w:val="17"/>
          <w:szCs w:val="17"/>
          <w:color w:val="auto"/>
        </w:rPr>
        <w:t>Generally, cash is transferred through Cullgen’s organization in the following manner: (i) funds are transferred to Cullgen Shanghai from Cullgen, in the form of capital contributions or shareholder loans; and (ii) dividends or other distributions may be paid by Cullgen Shanghai to Cullgen.</w:t>
      </w:r>
    </w:p>
    <w:p>
      <w:pPr>
        <w:spacing w:after="0" w:line="68" w:lineRule="exact"/>
        <w:rPr>
          <w:sz w:val="20"/>
          <w:szCs w:val="20"/>
          <w:color w:val="auto"/>
        </w:rPr>
      </w:pPr>
    </w:p>
    <w:p>
      <w:pPr>
        <w:jc w:val="both"/>
        <w:ind w:left="540" w:right="539" w:firstLine="340"/>
        <w:spacing w:after="0" w:line="264" w:lineRule="auto"/>
        <w:rPr>
          <w:sz w:val="20"/>
          <w:szCs w:val="20"/>
          <w:color w:val="auto"/>
        </w:rPr>
      </w:pPr>
      <w:r>
        <w:rPr>
          <w:rFonts w:ascii="Times New Roman" w:cs="Times New Roman" w:eastAsia="Times New Roman" w:hAnsi="Times New Roman"/>
          <w:sz w:val="17"/>
          <w:szCs w:val="17"/>
          <w:color w:val="auto"/>
        </w:rPr>
        <w:t>Cullgen may not be able to transfer funds out of Cullgen Shanghai, or Cullgen might face difficulties in transferring funds from investors in the PRC should Cullgen decide to solicit investments from investors in the PRC, in a timely manner due to restrictions imposed by the PRC authorities.</w:t>
      </w:r>
    </w:p>
    <w:p>
      <w:pPr>
        <w:spacing w:after="0" w:line="68" w:lineRule="exact"/>
        <w:rPr>
          <w:sz w:val="20"/>
          <w:szCs w:val="20"/>
          <w:color w:val="auto"/>
        </w:rPr>
      </w:pPr>
    </w:p>
    <w:p>
      <w:pPr>
        <w:jc w:val="both"/>
        <w:ind w:left="540" w:right="519" w:firstLine="340"/>
        <w:spacing w:after="0" w:line="279" w:lineRule="auto"/>
        <w:rPr>
          <w:sz w:val="20"/>
          <w:szCs w:val="20"/>
          <w:color w:val="auto"/>
        </w:rPr>
      </w:pPr>
      <w:r>
        <w:rPr>
          <w:rFonts w:ascii="Times New Roman" w:cs="Times New Roman" w:eastAsia="Times New Roman" w:hAnsi="Times New Roman"/>
          <w:sz w:val="17"/>
          <w:szCs w:val="17"/>
          <w:color w:val="auto"/>
        </w:rPr>
        <w:t>Under PRC laws and regulations, Cullgen’s operating subsidiary in the PRC, Cullgen Shanghai, as a wholly foreign-owned enterprise in the PRC, may pay dividends only out of their accumulated profits as determined 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80645</wp:posOffset>
            </wp:positionV>
            <wp:extent cx="5325110" cy="775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5110" cy="77590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540" w:right="519"/>
        <w:spacing w:after="0" w:line="255" w:lineRule="auto"/>
        <w:rPr>
          <w:sz w:val="20"/>
          <w:szCs w:val="20"/>
          <w:color w:val="auto"/>
        </w:rPr>
      </w:pPr>
      <w:r>
        <w:rPr>
          <w:rFonts w:ascii="Times New Roman" w:cs="Times New Roman" w:eastAsia="Times New Roman" w:hAnsi="Times New Roman"/>
          <w:sz w:val="17"/>
          <w:szCs w:val="17"/>
          <w:color w:val="auto"/>
        </w:rPr>
        <w:t>accordance with PRC accounting standards and regulations. In addition, a wholly foreign-owned enterprise, such as Cullgen Shanghai, is required to set aside at least 10% of its accumulated after-tax profits after making up the previous year’s accumulated losses each year, if any, to fund statutory reserve funds, until the aggregate amount of such fund reaches 50% of its registered capital. It may allocate a portion of its after-tax profits based on PRC accounting standards to discretionary reserve funds according to its shareholder’s decision. These statutory reserve funds and discretionary reserve funds are not distributable as cash dividends except in the event of a solvent liquidation of the enterprise.</w:t>
      </w:r>
    </w:p>
    <w:p>
      <w:pPr>
        <w:spacing w:after="0" w:line="74" w:lineRule="exact"/>
        <w:rPr>
          <w:sz w:val="20"/>
          <w:szCs w:val="20"/>
          <w:color w:val="auto"/>
        </w:rPr>
      </w:pPr>
    </w:p>
    <w:p>
      <w:pPr>
        <w:jc w:val="both"/>
        <w:ind w:left="540" w:right="519" w:firstLine="340"/>
        <w:spacing w:after="0" w:line="259" w:lineRule="auto"/>
        <w:rPr>
          <w:sz w:val="20"/>
          <w:szCs w:val="20"/>
          <w:color w:val="auto"/>
        </w:rPr>
      </w:pPr>
      <w:r>
        <w:rPr>
          <w:rFonts w:ascii="Times New Roman" w:cs="Times New Roman" w:eastAsia="Times New Roman" w:hAnsi="Times New Roman"/>
          <w:sz w:val="17"/>
          <w:szCs w:val="17"/>
          <w:color w:val="auto"/>
        </w:rPr>
        <w:t>In addition, the PRC Enterprise Income Tax Law, and its implementation rules provide that withholding tax rate of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73" w:lineRule="exact"/>
        <w:rPr>
          <w:sz w:val="20"/>
          <w:szCs w:val="20"/>
          <w:color w:val="auto"/>
        </w:rPr>
      </w:pPr>
    </w:p>
    <w:p>
      <w:pPr>
        <w:jc w:val="both"/>
        <w:ind w:left="540" w:right="539" w:firstLine="340"/>
        <w:spacing w:after="0" w:line="264" w:lineRule="auto"/>
        <w:rPr>
          <w:sz w:val="20"/>
          <w:szCs w:val="20"/>
          <w:color w:val="auto"/>
        </w:rPr>
      </w:pPr>
      <w:r>
        <w:rPr>
          <w:rFonts w:ascii="Times New Roman" w:cs="Times New Roman" w:eastAsia="Times New Roman" w:hAnsi="Times New Roman"/>
          <w:sz w:val="17"/>
          <w:szCs w:val="17"/>
          <w:color w:val="auto"/>
        </w:rPr>
        <w:t>Any limitation on the ability of Cullgen Shanghai to pay dividends or make other distributions to Cullgen could materially and adversely limit Cullgen’s ability to grow, make investments or acquisitions that could be beneficial to Cullgen’s business, pay dividends, or otherwise fund and conduct its business.</w:t>
      </w:r>
    </w:p>
    <w:p>
      <w:pPr>
        <w:spacing w:after="0" w:line="68" w:lineRule="exact"/>
        <w:rPr>
          <w:sz w:val="20"/>
          <w:szCs w:val="20"/>
          <w:color w:val="auto"/>
        </w:rPr>
      </w:pPr>
    </w:p>
    <w:p>
      <w:pPr>
        <w:jc w:val="both"/>
        <w:ind w:left="540" w:right="519" w:firstLine="340"/>
        <w:spacing w:after="0" w:line="254" w:lineRule="auto"/>
        <w:rPr>
          <w:sz w:val="20"/>
          <w:szCs w:val="20"/>
          <w:color w:val="auto"/>
        </w:rPr>
      </w:pPr>
      <w:r>
        <w:rPr>
          <w:rFonts w:ascii="Times New Roman" w:cs="Times New Roman" w:eastAsia="Times New Roman" w:hAnsi="Times New Roman"/>
          <w:sz w:val="17"/>
          <w:szCs w:val="17"/>
          <w:color w:val="auto"/>
        </w:rPr>
        <w:t>Since Cullgen’s inception to the date of this prospectus, there were no transfers, dividends, or distributions between Cullgen Shanghai and Cullgen, or to investors (excluding shareholder capital contributions). In addition, since Cullgen Shanghai’s inception, Cullgen Shanghai has not paid a dividend to Cullgen. Cullgen intends to retain all available funds and any future earnings for use in the operation of its business and does not anticipate paying any cash dividends on its capital stock in the foreseeable future. Notwithstanding the foregoing, any determination to pay cash dividends subsequent to the Merger will be at the discretion our board of directors (the “Board”) and will depend upon a number of factors, including our results of operations, financial condition, future prospects, contractual restrictions, restrictions imposed by applicable law and other factors the Board deems relevant.</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Our Operations in the PRC</w:t>
      </w:r>
    </w:p>
    <w:p>
      <w:pPr>
        <w:spacing w:after="0" w:line="114" w:lineRule="exact"/>
        <w:rPr>
          <w:sz w:val="20"/>
          <w:szCs w:val="20"/>
          <w:color w:val="auto"/>
        </w:rPr>
      </w:pPr>
    </w:p>
    <w:p>
      <w:pPr>
        <w:jc w:val="both"/>
        <w:ind w:left="540" w:right="519" w:firstLine="340"/>
        <w:spacing w:after="0" w:line="253" w:lineRule="auto"/>
        <w:rPr>
          <w:sz w:val="20"/>
          <w:szCs w:val="20"/>
          <w:color w:val="auto"/>
        </w:rPr>
      </w:pPr>
      <w:r>
        <w:rPr>
          <w:rFonts w:ascii="Times New Roman" w:cs="Times New Roman" w:eastAsia="Times New Roman" w:hAnsi="Times New Roman"/>
          <w:sz w:val="17"/>
          <w:szCs w:val="17"/>
          <w:color w:val="auto"/>
        </w:rPr>
        <w:t>A significant portion of our business is operated through Gyre Pharmaceuticals. Such structure involves unique legal and operational risks to investors in our Common Stock. In particular, the PRC government has significant authority to exert influence on the ability of a company with substantive operations in the PRC,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our Common Stock or could significantly limit or completely hinder our ability to offer or continue to offer our Common Stock to investors and cause the value of such Common Stock to significantly decline or become worthless. As we are a company with substantive business operations in the PRC, you should pay special attention to disclosures included in our most recent Annual Report on Form 10-K incorporated by reference in this prospectus and risk factors included herein.</w:t>
      </w:r>
    </w:p>
    <w:p>
      <w:pPr>
        <w:spacing w:after="0" w:line="76" w:lineRule="exact"/>
        <w:rPr>
          <w:sz w:val="20"/>
          <w:szCs w:val="20"/>
          <w:color w:val="auto"/>
        </w:rPr>
      </w:pPr>
    </w:p>
    <w:p>
      <w:pPr>
        <w:jc w:val="both"/>
        <w:ind w:left="540" w:right="519" w:firstLine="340"/>
        <w:spacing w:after="0" w:line="252" w:lineRule="auto"/>
        <w:rPr>
          <w:sz w:val="20"/>
          <w:szCs w:val="20"/>
          <w:color w:val="auto"/>
        </w:rPr>
      </w:pPr>
      <w:r>
        <w:rPr>
          <w:rFonts w:ascii="Times New Roman" w:cs="Times New Roman" w:eastAsia="Times New Roman" w:hAnsi="Times New Roman"/>
          <w:sz w:val="17"/>
          <w:szCs w:val="17"/>
          <w:color w:val="auto"/>
        </w:rPr>
        <w:t>In addition, our auditor is headquartered in mainland China, a jurisdiction where the PCAOB was unable to conduct inspections without the approval of the Chinese authorities. Trading in our Common Stock on Nasdaq or over-the-counter may be prohibited, and as a result, our Common Stock may be delisted under the HFCAA if the PCAOB determines that it has been unable to inspect or investigate completely our auditor located in the PRC for two consecutive years. On December 16, 2021, the PCAOB issued the HFCAA Determination Report to notify the SEC of its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were not identified as a “Commission-Identified Issuer” under the HFCAA upon filing of our Annual Report on Form 10-K for the year ended December 31, 2025.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w:t>
      </w:r>
    </w:p>
    <w:p>
      <w:pPr>
        <w:spacing w:after="0" w:line="81" w:lineRule="exact"/>
        <w:rPr>
          <w:sz w:val="20"/>
          <w:szCs w:val="20"/>
          <w:color w:val="auto"/>
        </w:rPr>
      </w:pPr>
    </w:p>
    <w:p>
      <w:pPr>
        <w:jc w:val="both"/>
        <w:ind w:left="540" w:right="519" w:firstLine="340"/>
        <w:spacing w:after="0" w:line="257" w:lineRule="auto"/>
        <w:rPr>
          <w:sz w:val="20"/>
          <w:szCs w:val="20"/>
          <w:color w:val="auto"/>
        </w:rPr>
      </w:pPr>
      <w:r>
        <w:rPr>
          <w:rFonts w:ascii="Times New Roman" w:cs="Times New Roman" w:eastAsia="Times New Roman" w:hAnsi="Times New Roman"/>
          <w:sz w:val="17"/>
          <w:szCs w:val="17"/>
          <w:color w:val="auto"/>
        </w:rPr>
        <w:t>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80645</wp:posOffset>
            </wp:positionV>
            <wp:extent cx="5325110" cy="8066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25110" cy="80664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540" w:right="519"/>
        <w:spacing w:after="0" w:line="257" w:lineRule="auto"/>
        <w:rPr>
          <w:sz w:val="20"/>
          <w:szCs w:val="20"/>
          <w:color w:val="auto"/>
        </w:rPr>
      </w:pPr>
      <w:r>
        <w:rPr>
          <w:rFonts w:ascii="Times New Roman" w:cs="Times New Roman" w:eastAsia="Times New Roman" w:hAnsi="Times New Roman"/>
          <w:sz w:val="17"/>
          <w:szCs w:val="17"/>
          <w:color w:val="auto"/>
        </w:rPr>
        <w:t>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w:t>
      </w:r>
    </w:p>
    <w:p>
      <w:pPr>
        <w:spacing w:after="0" w:line="74" w:lineRule="exact"/>
        <w:rPr>
          <w:sz w:val="20"/>
          <w:szCs w:val="20"/>
          <w:color w:val="auto"/>
        </w:rPr>
      </w:pPr>
    </w:p>
    <w:p>
      <w:pPr>
        <w:jc w:val="both"/>
        <w:ind w:left="540" w:right="519" w:firstLine="340"/>
        <w:spacing w:after="0" w:line="252" w:lineRule="auto"/>
        <w:rPr>
          <w:sz w:val="20"/>
          <w:szCs w:val="20"/>
          <w:color w:val="auto"/>
        </w:rPr>
      </w:pPr>
      <w:r>
        <w:rPr>
          <w:rFonts w:ascii="Times New Roman" w:cs="Times New Roman" w:eastAsia="Times New Roman" w:hAnsi="Times New Roman"/>
          <w:sz w:val="17"/>
          <w:szCs w:val="17"/>
          <w:color w:val="auto"/>
        </w:rPr>
        <w:t>The PRC government has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recently issued new laws and regulations to exert more oversight and control over overseas securities offerings and other capital markets activities and foreign investment in PRC-based companies.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“Risk Factors—Risks Related to Our Business Operations in the PRC” in our most recent Annual Report on Form 10-K incorporated by reference in this prospectus.</w:t>
      </w:r>
    </w:p>
    <w:p>
      <w:pPr>
        <w:spacing w:after="0" w:line="2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14" w:lineRule="exact"/>
        <w:rPr>
          <w:sz w:val="20"/>
          <w:szCs w:val="20"/>
          <w:color w:val="auto"/>
        </w:rPr>
      </w:pPr>
    </w:p>
    <w:p>
      <w:pPr>
        <w:jc w:val="both"/>
        <w:ind w:left="540" w:right="519" w:firstLine="340"/>
        <w:spacing w:after="0" w:line="254" w:lineRule="auto"/>
        <w:rPr>
          <w:sz w:val="20"/>
          <w:szCs w:val="20"/>
          <w:color w:val="auto"/>
        </w:rPr>
      </w:pPr>
      <w:r>
        <w:rPr>
          <w:rFonts w:ascii="Times New Roman" w:cs="Times New Roman" w:eastAsia="Times New Roman" w:hAnsi="Times New Roman"/>
          <w:sz w:val="17"/>
          <w:szCs w:val="17"/>
          <w:color w:val="auto"/>
        </w:rPr>
        <w:t>On May 4, 2026 (the “Merger Closing Date”), we consummated the acquisition of Cullgen in accordance with the terms of the Agreement and Plan of Merger and Reorganization, dated March 2, 2026 (the “Merger Agreement”), by and among the Company, Cullgen and Helix Merger Sub Corp., a Delaware corporation and wholly owned subsidiary of the Company (“Merger Sub”). Pursuant to the Merger Agreement, among other matters, Merger Sub merged with and into Cullgen, with Cullgen continuing as a wholly owned subsidiary of the Company and the surviving corporation of the merger (the “Merger”). The Merger is intended to qualify for federal income tax purposes as a tax-free reorganization under the provisions of Section 368(a) of the Internal Revenue Code of 1986, as amended.</w:t>
      </w:r>
    </w:p>
    <w:p>
      <w:pPr>
        <w:spacing w:after="0" w:line="2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Merger with Cullgen</w:t>
      </w:r>
    </w:p>
    <w:p>
      <w:pPr>
        <w:spacing w:after="0" w:line="114" w:lineRule="exact"/>
        <w:rPr>
          <w:sz w:val="20"/>
          <w:szCs w:val="20"/>
          <w:color w:val="auto"/>
        </w:rPr>
      </w:pPr>
    </w:p>
    <w:p>
      <w:pPr>
        <w:jc w:val="both"/>
        <w:ind w:left="540" w:right="519" w:firstLine="340"/>
        <w:spacing w:after="0" w:line="251" w:lineRule="auto"/>
        <w:rPr>
          <w:sz w:val="20"/>
          <w:szCs w:val="20"/>
          <w:color w:val="auto"/>
        </w:rPr>
      </w:pPr>
      <w:r>
        <w:rPr>
          <w:rFonts w:ascii="Times New Roman" w:cs="Times New Roman" w:eastAsia="Times New Roman" w:hAnsi="Times New Roman"/>
          <w:sz w:val="17"/>
          <w:szCs w:val="17"/>
          <w:color w:val="auto"/>
        </w:rPr>
        <w:t>Under the terms of the Merger Agreement, we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was converted into (1) with respect to shares of Cullgen Capital Stock held by certain designated holders, (i) for each share of Cullgen common stock (“Cullgen Common Stock”) held by such holders, a number of shares of the Series B Preferred Stock equal to (x) 0.4753 (the “Exchange Ratio”) divided by five, and (ii) for each share of Cullgen preferred stock (“Cullgen Preferred Stock”) held by such designated holders, a number of shares of Series B Preferred Stock equal to (x) the number of shares of Cullgen Common Stock issuable upon conversion of each share of Cullgen Preferred Stock, multiplied by the Exchange Ratio, and divided by five, and (2) with respect to shares of Cullgen Capital Stock held by each other holder, (i) for each share of Cullgen Common Stock held by such holders, a number of shares of Common Stock equal to the Exchange Ratio, and (ii) for each share of Cullgen Preferred Stock held by such holders, a number of shares of Common Stock equal to the number of shares of Cullgen Common Stock issuable upon conversion of each share of Cullgen Preferred Stock, multiplied by the Exchange Ratio. Each share of Series B Preferred Stock received in the Merger is convertible into five shares of Common Stock, subject to the Conversion Approval. Notwithstanding anything herein to the contrary, in no event will we issue greater than 19.99% of our issued and outstanding Common Stock or our voting power prior to the Conversion Approval.</w:t>
      </w:r>
    </w:p>
    <w:p>
      <w:pPr>
        <w:spacing w:after="0" w:line="90" w:lineRule="exact"/>
        <w:rPr>
          <w:sz w:val="20"/>
          <w:szCs w:val="20"/>
          <w:color w:val="auto"/>
        </w:rPr>
      </w:pPr>
    </w:p>
    <w:p>
      <w:pPr>
        <w:jc w:val="both"/>
        <w:ind w:left="540" w:right="519" w:firstLine="340"/>
        <w:spacing w:after="0" w:line="253" w:lineRule="auto"/>
        <w:rPr>
          <w:sz w:val="20"/>
          <w:szCs w:val="20"/>
          <w:color w:val="auto"/>
        </w:rPr>
      </w:pPr>
      <w:r>
        <w:rPr>
          <w:rFonts w:ascii="Times New Roman" w:cs="Times New Roman" w:eastAsia="Times New Roman" w:hAnsi="Times New Roman"/>
          <w:sz w:val="17"/>
          <w:szCs w:val="17"/>
          <w:color w:val="auto"/>
        </w:rPr>
        <w:t>We filed a proxy statement with the SEC to solicit such Conversion Approval, among other matters, at the annual meeting of our stockholders. On all matters submitted to a vote of our stockholders, the holders of shares of Series B Preferred Stock shall vote together with the holders of Common Stock as a single class and, in connection therewith, each holder of outstanding shares of Series B Preferred Stock shall be entitled to cast one vote for each share of Series B Preferred Stock held by such holder as of the record date for determining stockholders entitled to vote on such matter. For more information on the Series B Preferred Stock, please refer to the Certificate of Designation of Preferences, Rights and Limitations of Series B Convertible Preferred Stock (the “Series B Certificate of Designation”), which is incorporated by reference herein and attached as Exhibit 3.6 to this registration statement.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80645</wp:posOffset>
            </wp:positionV>
            <wp:extent cx="5325110" cy="3748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25110" cy="37484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p>
    <w:p>
      <w:pPr>
        <w:spacing w:after="0" w:line="114" w:lineRule="exact"/>
        <w:rPr>
          <w:sz w:val="20"/>
          <w:szCs w:val="20"/>
          <w:color w:val="auto"/>
        </w:rPr>
      </w:pPr>
    </w:p>
    <w:p>
      <w:pPr>
        <w:jc w:val="both"/>
        <w:ind w:left="540" w:right="519" w:firstLine="340"/>
        <w:spacing w:after="0" w:line="253" w:lineRule="auto"/>
        <w:rPr>
          <w:sz w:val="20"/>
          <w:szCs w:val="20"/>
          <w:color w:val="auto"/>
        </w:rPr>
      </w:pPr>
      <w:r>
        <w:rPr>
          <w:rFonts w:ascii="Times New Roman" w:cs="Times New Roman" w:eastAsia="Times New Roman" w:hAnsi="Times New Roman"/>
          <w:sz w:val="17"/>
          <w:szCs w:val="17"/>
          <w:color w:val="auto"/>
        </w:rPr>
        <w:t>In connection with the closing of the Merger, we entered into a Registration Rights Agreement (the “Registration Rights Agreement”) with Cullgen and certain holders of shares of Cullgen Capital Stock signatory thereto (the “Cullgen Holders”). Pursuant to the Registration Rights Agreement, we are required to prepare and file a resale registration statement with the SEC within 45 calendar days following the Merger Closing Date with respect to the Common Shares and Conversion Series B Shares. We shall use reasonable best efforts to cause this registration statement to be declared effective by the SEC within 90 business days of the Merger Closing Date (or, in the event of a “full review” by the SEC, within 120 calendar days of the Merger Closing Date). We are filing this registration statement, of which this prospectus forms a part, to satisfy our obligations under the Registration Rights Agreement.</w:t>
      </w:r>
    </w:p>
    <w:p>
      <w:pPr>
        <w:spacing w:after="0" w:line="81" w:lineRule="exact"/>
        <w:rPr>
          <w:sz w:val="20"/>
          <w:szCs w:val="20"/>
          <w:color w:val="auto"/>
        </w:rPr>
      </w:pPr>
    </w:p>
    <w:p>
      <w:pPr>
        <w:jc w:val="both"/>
        <w:ind w:left="540" w:right="539" w:firstLine="340"/>
        <w:spacing w:after="0" w:line="279" w:lineRule="auto"/>
        <w:rPr>
          <w:sz w:val="20"/>
          <w:szCs w:val="20"/>
          <w:color w:val="auto"/>
        </w:rPr>
      </w:pPr>
      <w:r>
        <w:rPr>
          <w:rFonts w:ascii="Times New Roman" w:cs="Times New Roman" w:eastAsia="Times New Roman" w:hAnsi="Times New Roman"/>
          <w:sz w:val="17"/>
          <w:szCs w:val="17"/>
          <w:color w:val="auto"/>
        </w:rPr>
        <w:t>For more information about the Merger, you should refer to our Current Reports on Form 8-K filed with the SEC on March 2, 2026 and May 4, 2026, which are incorporated by reference herein.</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Corporation Information</w:t>
      </w:r>
    </w:p>
    <w:p>
      <w:pPr>
        <w:spacing w:after="0" w:line="114" w:lineRule="exact"/>
        <w:rPr>
          <w:sz w:val="20"/>
          <w:szCs w:val="20"/>
          <w:color w:val="auto"/>
        </w:rPr>
      </w:pPr>
    </w:p>
    <w:p>
      <w:pPr>
        <w:jc w:val="both"/>
        <w:ind w:left="540" w:right="519" w:firstLine="340"/>
        <w:spacing w:after="0" w:line="253" w:lineRule="auto"/>
        <w:rPr>
          <w:sz w:val="20"/>
          <w:szCs w:val="20"/>
          <w:color w:val="auto"/>
        </w:rPr>
      </w:pPr>
      <w:r>
        <w:rPr>
          <w:rFonts w:ascii="Times New Roman" w:cs="Times New Roman" w:eastAsia="Times New Roman" w:hAnsi="Times New Roman"/>
          <w:sz w:val="17"/>
          <w:szCs w:val="17"/>
          <w:color w:val="auto"/>
        </w:rPr>
        <w:t xml:space="preserve">We were incorporated in Delaware in 1997 as a wholly-owned subsidiary of R.J. Reynolds Tobacco Company. In August 2000, we became an independent company when we issued and sold stock to venture capital investors. On August 20, 2015, pursuant to the merger agreement between Targacept, Inc. and Catalyst Biosciences, Inc. (“Private Catalyst”), we acquired Private Catalyst and on August 20, 2015, we changed our name from Targacept, Inc. to Catalyst Biosciences, Inc. On October 30, 2023, we consummated a business combination pursuant to which we acquired an indirect controlling interest in Gyre Pharmaceuticals. At the closing, we changed our name from Catalyst Biosciences, Inc. to Gyre Therapeutics, Inc. Our principal executive offices are located at 12730 High Bluff Drive, Suite 250, San Diego, CA 92130, and our telephone number is (858) 284-0115. Our website address is </w:t>
      </w:r>
      <w:r>
        <w:rPr>
          <w:rFonts w:ascii="Times New Roman" w:cs="Times New Roman" w:eastAsia="Times New Roman" w:hAnsi="Times New Roman"/>
          <w:sz w:val="17"/>
          <w:szCs w:val="17"/>
          <w:i w:val="1"/>
          <w:iCs w:val="1"/>
          <w:color w:val="auto"/>
        </w:rPr>
        <w:t>www.gyretx.com</w:t>
      </w:r>
      <w:r>
        <w:rPr>
          <w:rFonts w:ascii="Times New Roman" w:cs="Times New Roman" w:eastAsia="Times New Roman" w:hAnsi="Times New Roman"/>
          <w:sz w:val="17"/>
          <w:szCs w:val="17"/>
          <w:color w:val="auto"/>
        </w:rPr>
        <w:t>. We do not incorporate the information on, or accessible through, our website into this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you should not consider any information on, or accessible through, our website as part of this prospectus.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1" w:name="page12"/>
    <w:bookmarkEnd w:id="11"/>
    <w:p>
      <w:pPr>
        <w:jc w:val="both"/>
        <w:spacing w:after="0" w:line="242" w:lineRule="auto"/>
        <w:framePr w:w="3960" w:h="1781" w:wrap="auto" w:vAnchor="page" w:hAnchor="page" w:x="6020" w:y="289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 of the securities and any of their pledgees, assignees, donees, transferees or other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jc w:val="both"/>
        <w:spacing w:after="0" w:line="239" w:lineRule="auto"/>
        <w:framePr w:w="3960" w:h="1170" w:wrap="auto" w:vAnchor="page" w:hAnchor="page" w:x="6020" w:y="153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Selling Stockholders.</w:t>
      </w:r>
      <w:r>
        <w:rPr>
          <w:rFonts w:ascii="Times New Roman" w:cs="Times New Roman" w:eastAsia="Times New Roman" w:hAnsi="Times New Roman"/>
          <w:sz w:val="17"/>
          <w:szCs w:val="17"/>
          <w:color w:val="auto"/>
        </w:rPr>
        <w:t>”</w:t>
      </w:r>
    </w:p>
    <w:p>
      <w:pPr>
        <w:spacing w:after="0" w:line="197" w:lineRule="auto"/>
        <w:framePr w:w="2640" w:h="151" w:wrap="auto" w:vAnchor="page" w:hAnchor="page" w:x="6020" w:y="119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30,221,531 shares of Common Stock.</w:t>
      </w: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209550</wp:posOffset>
            </wp:positionH>
            <wp:positionV relativeFrom="paragraph">
              <wp:posOffset>80645</wp:posOffset>
            </wp:positionV>
            <wp:extent cx="5325110" cy="2794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25110" cy="2794635"/>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234" w:lineRule="exact"/>
        <w:rPr>
          <w:rFonts w:ascii="Times New Roman" w:cs="Times New Roman" w:eastAsia="Times New Roman" w:hAnsi="Times New Roman"/>
          <w:sz w:val="16"/>
          <w:szCs w:val="16"/>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THE OFFERING</w:t>
      </w:r>
    </w:p>
    <w:p>
      <w:pPr>
        <w:spacing w:after="0" w:line="122" w:lineRule="exact"/>
        <w:rPr>
          <w:rFonts w:ascii="Times New Roman" w:cs="Times New Roman" w:eastAsia="Times New Roman" w:hAnsi="Times New Roman"/>
          <w:sz w:val="16"/>
          <w:szCs w:val="16"/>
          <w:color w:val="auto"/>
        </w:rPr>
      </w:pPr>
    </w:p>
    <w:p>
      <w:pPr>
        <w:ind w:left="540" w:right="4779"/>
        <w:spacing w:after="0" w:line="440" w:lineRule="auto"/>
        <w:rPr>
          <w:sz w:val="20"/>
          <w:szCs w:val="20"/>
          <w:color w:val="auto"/>
        </w:rPr>
      </w:pPr>
      <w:r>
        <w:rPr>
          <w:rFonts w:ascii="Times New Roman" w:cs="Times New Roman" w:eastAsia="Times New Roman" w:hAnsi="Times New Roman"/>
          <w:sz w:val="17"/>
          <w:szCs w:val="17"/>
          <w:b w:val="1"/>
          <w:bCs w:val="1"/>
          <w:color w:val="auto"/>
        </w:rPr>
        <w:t>Common Stock offered by the Selling Stockholders Use of Proceeds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7" w:lineRule="exact"/>
        <w:rPr>
          <w:rFonts w:ascii="Times New Roman" w:cs="Times New Roman" w:eastAsia="Times New Roman" w:hAnsi="Times New Roman"/>
          <w:sz w:val="16"/>
          <w:szCs w:val="16"/>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2" w:name="page13"/>
    <w:bookmarkEnd w:id="12"/>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4" w:lineRule="exact"/>
        <w:rPr>
          <w:sz w:val="20"/>
          <w:szCs w:val="20"/>
          <w:color w:val="auto"/>
        </w:rPr>
      </w:pPr>
    </w:p>
    <w:p>
      <w:pPr>
        <w:jc w:val="both"/>
        <w:ind w:left="540" w:right="539" w:firstLine="339"/>
        <w:spacing w:after="0" w:line="254" w:lineRule="auto"/>
        <w:rPr>
          <w:sz w:val="20"/>
          <w:szCs w:val="20"/>
          <w:color w:val="auto"/>
        </w:rPr>
      </w:pPr>
      <w:r>
        <w:rPr>
          <w:rFonts w:ascii="Times New Roman" w:cs="Times New Roman" w:eastAsia="Times New Roman" w:hAnsi="Times New Roman"/>
          <w:sz w:val="17"/>
          <w:szCs w:val="17"/>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below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w:t>
      </w:r>
    </w:p>
    <w:p>
      <w:pPr>
        <w:spacing w:after="0" w:line="77" w:lineRule="exact"/>
        <w:rPr>
          <w:sz w:val="20"/>
          <w:szCs w:val="20"/>
          <w:color w:val="auto"/>
        </w:rPr>
      </w:pPr>
    </w:p>
    <w:p>
      <w:pPr>
        <w:jc w:val="both"/>
        <w:ind w:left="540" w:right="539" w:firstLine="339"/>
        <w:spacing w:after="0" w:line="279" w:lineRule="auto"/>
        <w:rPr>
          <w:sz w:val="20"/>
          <w:szCs w:val="20"/>
          <w:color w:val="auto"/>
        </w:rPr>
      </w:pPr>
      <w:r>
        <w:rPr>
          <w:rFonts w:ascii="Times New Roman" w:cs="Times New Roman" w:eastAsia="Times New Roman" w:hAnsi="Times New Roman"/>
          <w:sz w:val="17"/>
          <w:szCs w:val="17"/>
          <w:color w:val="auto"/>
        </w:rPr>
        <w:t>For more information about our SEC filings, please see “Where You Can Find More Information” and “Incorporation of Certain Information by Reference.”</w:t>
      </w:r>
    </w:p>
    <w:p>
      <w:pPr>
        <w:spacing w:after="0" w:line="153" w:lineRule="exact"/>
        <w:rPr>
          <w:sz w:val="20"/>
          <w:szCs w:val="20"/>
          <w:color w:val="auto"/>
        </w:rPr>
      </w:pPr>
    </w:p>
    <w:p>
      <w:pPr>
        <w:jc w:val="both"/>
        <w:ind w:left="540" w:right="559" w:firstLine="339"/>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sale of a substantial amount of our Common Stock could adversely affect the prevailing market price of our Common Stock.</w:t>
      </w:r>
    </w:p>
    <w:p>
      <w:pPr>
        <w:spacing w:after="0" w:line="51"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We are registering for resale 30,221,531 shares of Common Stock held by the Selling Stockholders. Sales of substantial amounts of our shares of Common Stock in the public market, or the perception that such sales may occur, could adversely affect the market price of our Common Stock. We cannot predict if and when Selling Stockholders may sell such shares in the public markets. Furthermore, in the future, we may issue additional shares of Common Stock. Any such issuance could result in substantial dilution to our existing stockholders and could cause our share price to decline.</w:t>
      </w:r>
    </w:p>
    <w:p>
      <w:pPr>
        <w:spacing w:after="0" w:line="176" w:lineRule="exact"/>
        <w:rPr>
          <w:sz w:val="20"/>
          <w:szCs w:val="20"/>
          <w:color w:val="auto"/>
        </w:rPr>
      </w:pPr>
    </w:p>
    <w:p>
      <w:pPr>
        <w:jc w:val="both"/>
        <w:ind w:left="540" w:right="559" w:firstLine="339"/>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may exert influence over Gyre Pharmaceuticals’ operations, which could result in an adverse change in our operations.</w:t>
      </w:r>
    </w:p>
    <w:p>
      <w:pPr>
        <w:spacing w:after="0" w:line="51"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We have extensive business operations in the PRC, including manufacturing, sales and marketing, research and development and other business operations. Accordingly, the PRC government has some oversight and discretion over the conduct of our business in the PRC and may exert influence over our operations. The PRC government has recently published new policies that significantly affected certain industries, and we cannot rule out the possibility that it will in the future do the same regarding our industry, including policies that could require us to seek permission from the PRC authorities to continue to operate our business in the PRC.</w:t>
      </w:r>
    </w:p>
    <w:p>
      <w:pPr>
        <w:spacing w:after="0" w:line="78" w:lineRule="exact"/>
        <w:rPr>
          <w:sz w:val="20"/>
          <w:szCs w:val="20"/>
          <w:color w:val="auto"/>
        </w:rPr>
      </w:pPr>
    </w:p>
    <w:p>
      <w:pPr>
        <w:jc w:val="both"/>
        <w:ind w:left="540" w:right="539" w:firstLine="339"/>
        <w:spacing w:after="0" w:line="277" w:lineRule="auto"/>
        <w:rPr>
          <w:sz w:val="20"/>
          <w:szCs w:val="20"/>
          <w:color w:val="auto"/>
        </w:rPr>
      </w:pPr>
      <w:r>
        <w:rPr>
          <w:rFonts w:ascii="Times New Roman" w:cs="Times New Roman" w:eastAsia="Times New Roman" w:hAnsi="Times New Roman"/>
          <w:sz w:val="16"/>
          <w:szCs w:val="16"/>
          <w:color w:val="auto"/>
        </w:rPr>
        <w:t>In February 2023, the China Securities Regulatory Commission (the “CSRC”) released the Trial Administrative Measures of Overseas Securities Offering and Listing by Domestic Enterprises (the “Trial Measures”), which came into effect on March 31, 2023. The Trial Measures comprehensively improve and reform the existing regulatory regime for overseas offering and listing of PRC domestic companies’ securities and regulate both direct and indirect overseas offering and listing of PRC domestic companies’ securities by adopting a filing-based regulatory regime.</w:t>
      </w:r>
    </w:p>
    <w:p>
      <w:pPr>
        <w:spacing w:after="0" w:line="59"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In February 2023, the CSRC and other PRC governmental authorities jointly issued the Provisions on Strengthening the Confidentiality and Archives Administration of Overseas Securities Offering and Listing by Domestic Companies (the “Confidentiality Provisions”), which came into effect on March 31, 2023. According to the Confidentiality Provisions, PRC domestic companies that directly or indirectly conduct overseas offerings and listings shall strictly abide by the laws and regulations on confidentiality when providing or publicly disclosing, whether directly or through their overseas listed entities, materials to securities services providers. In the event such materials contain state secrets or working secrets of government agencies, PRC domestic companies shall first obtain approval from authorities, and file with the secrecy administrative department at the same level with the approving authority; in the event that such materials, if divulged, will jeopardize national security or public interest, PRC domestic companies shall comply with procedures stipulated by national regulations.</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(i) we mistakenly conclude that certain regulatory filings, permissions and approvals are not required,</w:t>
      </w:r>
    </w:p>
    <w:p>
      <w:pPr>
        <w:spacing w:after="0" w:line="24" w:lineRule="exact"/>
        <w:rPr>
          <w:sz w:val="20"/>
          <w:szCs w:val="20"/>
          <w:color w:val="auto"/>
        </w:rPr>
      </w:pPr>
    </w:p>
    <w:p>
      <w:pPr>
        <w:jc w:val="both"/>
        <w:ind w:left="540" w:right="539" w:hanging="9"/>
        <w:spacing w:after="0" w:line="251" w:lineRule="auto"/>
        <w:tabs>
          <w:tab w:leader="none" w:pos="7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laws, regulations, or interpretations change, or (iii) we are required to obtain such filings, permissions or approvals in the future, we may be unable to obtain them in a timely manner, or at all, and such filings, permissions or approvals may be denied or rescinded even if obtained. We may face adverse actions or sanctions by the CSRC or other PRC regulatory agencies if we are unable to comply with such requirements, which may result in fines and penalties, restrictions on our operations, having to delist from a stock exchange outside of China, the halting of securities offerings to foreign investors and/or other actions that could materially and adversely affect our operations.</w:t>
      </w:r>
    </w:p>
    <w:p>
      <w:pPr>
        <w:spacing w:after="0" w:line="82"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Any such actions or sanctions, once taken by the PRC government, could significantly limit, delay or hinder our ability to offer or continue to offer securities to investors and cause the value of such securities to significantly decline or be worthless.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both"/>
        <w:ind w:left="540" w:right="539" w:firstLine="33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 enacted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the market for our Common Stock.</w:t>
      </w:r>
    </w:p>
    <w:p>
      <w:pPr>
        <w:spacing w:after="0" w:line="71" w:lineRule="exact"/>
        <w:rPr>
          <w:sz w:val="20"/>
          <w:szCs w:val="20"/>
          <w:color w:val="auto"/>
        </w:rPr>
      </w:pPr>
    </w:p>
    <w:p>
      <w:pPr>
        <w:jc w:val="both"/>
        <w:ind w:left="540" w:right="539" w:firstLine="339"/>
        <w:spacing w:after="0" w:line="254" w:lineRule="auto"/>
        <w:rPr>
          <w:sz w:val="20"/>
          <w:szCs w:val="20"/>
          <w:color w:val="auto"/>
        </w:rPr>
      </w:pPr>
      <w:r>
        <w:rPr>
          <w:rFonts w:ascii="Times New Roman" w:cs="Times New Roman" w:eastAsia="Times New Roman" w:hAnsi="Times New Roman"/>
          <w:sz w:val="17"/>
          <w:szCs w:val="17"/>
          <w:color w:val="auto"/>
        </w:rPr>
        <w:t>The HFCAA requires certain issuers of securities to establish that they are not owned or controlled by a foreign government. Specifically, an issuer must make this certification if the PCAOB is unable to audit specified reports because the issuer has retained a foreign public accounting firm not subject to inspection by the PCAOB. Furthermore, if the PCAOB is unable to inspect the issuer’s public accounting firm for three consecutive years, the issuer’s securities are banned from trading on a national exchange or through other methods. In December 2022, the Accelerating Holding Foreign Companies Accountable Act amended the HFCAA by decreasing the number of non-inspection years from three to two, thus reducing the time period before our Common Stock may be prohibited from trading or delisted if the PCAOB were to determine that it could not inspect our auditor.</w:t>
      </w:r>
    </w:p>
    <w:p>
      <w:pPr>
        <w:spacing w:after="0" w:line="77"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In March 2021, the SEC adopted interim final amendments to implement congressionally mandated submission and disclosure requirements of the HFCAA.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In December 2021, the SEC adopted amendments finalizing such rules to require that any such identified registrant is required to submit documentation to the SEC establishing that it is not owned or controlled by a governmental entity in that foreign jurisdiction, and is also required to disclose in the registrant’s annual report the audit arrangements of, and governmental influence on, such a registrant.</w:t>
      </w:r>
    </w:p>
    <w:p>
      <w:pPr>
        <w:spacing w:after="0" w:line="81"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In December 2021, the PCAOB issued a Determination Report which found that the PCAOB was then unable to inspect or investigate completely registered public accounting firms headquartered in: (1) mainland China of the PRC, because of a position taken by one or more authorities in mainland China; and (2) Hong Kong, a Special Administrative Region and dependency of the PRC, because of a position taken by one or more authorities in Hong Kong. The PCAOB has made such designations as mandated under the HFCAA. Pursuant to each annual determination by the PCAOB, the SEC will, on an annual basis, identify issuers that have used non-inspected audit firms and thus are at risk of such suspensions in the future.</w:t>
      </w:r>
    </w:p>
    <w:p>
      <w:pPr>
        <w:spacing w:after="0" w:line="74"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color w:val="auto"/>
        </w:rPr>
        <w:t>In August 2022, the CSRC, the Ministry of Finance of the PRC, and the PCAOB signed a Statement of Protocol (the “Protocol”), governing inspections and investigations of audit firms based in mainland China and Hong Kong. Pursuant to the Protocol, the PCAOB shall have independent discretion to select any issuer audits for inspection or investigation and has the unfettered ability to transfer information to the SEC. In December 2022, the PCAOB determined that the PCAOB was able to secure complete access to inspect and investigate registered public accounting firms headquartered in mainland China and Hong Kong and voted to vacate its previous determinations to the contrary. While vacating those determinations, the PCAOB noted that, should it encounter any impediment to conducting an inspection or investigation of auditors in mainland China or Hong Kong as a result of a position taken by any authority there, the PCAOB will consider the need to issue a new determination. Notwithstanding the foregoing, if the PCAOB is not able to inspect and investigate completely our auditor’s work papers in China, you may be deprived of the benefits of such inspection which could result in limitation or restriction to our access to the U.S. capital markets and trading of our securities may be prohibited under the HFCAA.</w:t>
      </w:r>
    </w:p>
    <w:p>
      <w:pPr>
        <w:spacing w:after="0" w:line="84"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color w:val="auto"/>
        </w:rPr>
        <w:t>Our auditor, Grant Thornton Zhitong Certified Public Accountants LLP, an independent public accounting firm registered with the PCAOB, and an auditor of publicly traded companies in the U.S., is subject to laws in the U.S. pursuant to which the PCAOB conducts regular inspections to assess its compliance with the applicable professional standards. Our auditor is headquartered in mainland China and was inspected by the PCAOB for the first time in July 2024 and was identified as a firm subject to the determinations announced by the PCAOB in December 2021. Should the PCAOB be unable to fully conduct inspection of our auditor’s work papers in mainland China, it will make it difficult to evaluate the effectiveness of our auditor’s audit procedures or equity control procedures. Investors may consequently lose confidence in our reported financial information and procedures or quality of the financial statements, which would adversely affect us and our securities. Moreover, if trading in our securities is prohibited under the HFCAA in the future because the PCAOB determines that it cannot inspect or fully investigate our auditor at such future time, if our securities were then traded on an exchange, that exchange may determine to delist our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4" w:name="page15"/>
    <w:bookmarkEnd w:id="14"/>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4"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8"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5" w:name="page16"/>
    <w:bookmarkEnd w:id="15"/>
    <w:p>
      <w:pPr>
        <w:ind w:left="1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114" w:lineRule="exact"/>
        <w:rPr>
          <w:sz w:val="20"/>
          <w:szCs w:val="20"/>
          <w:color w:val="auto"/>
        </w:rPr>
      </w:pPr>
    </w:p>
    <w:p>
      <w:pPr>
        <w:jc w:val="both"/>
        <w:ind w:left="1220" w:right="1220" w:firstLine="339"/>
        <w:spacing w:after="0" w:line="255" w:lineRule="auto"/>
        <w:rPr>
          <w:sz w:val="20"/>
          <w:szCs w:val="20"/>
          <w:color w:val="auto"/>
        </w:rPr>
      </w:pPr>
      <w:r>
        <w:rPr>
          <w:rFonts w:ascii="Times New Roman" w:cs="Times New Roman" w:eastAsia="Times New Roman" w:hAnsi="Times New Roman"/>
          <w:sz w:val="17"/>
          <w:szCs w:val="17"/>
          <w:color w:val="auto"/>
        </w:rPr>
        <w:t>This prospectus covers the resale or other disposition from time to time by the Selling Stockholders identified in the table below of up to an aggregate of 30,221,531 shares of Common Stock, which represents the total number of shares of Common Stock and Common Stock issuable upon the conversion of the Series B Preferred Stock issued to the Selling Stockholders pursuant to the Merger Agreement. The Selling Stockholders may from time to time offer and sell any or all of the Resale Shares set forth below pursuant to this prospectus and any accompanying prospectus supplement.</w:t>
      </w:r>
    </w:p>
    <w:p>
      <w:pPr>
        <w:spacing w:after="0" w:line="78" w:lineRule="exact"/>
        <w:rPr>
          <w:sz w:val="20"/>
          <w:szCs w:val="20"/>
          <w:color w:val="auto"/>
        </w:rPr>
      </w:pPr>
    </w:p>
    <w:p>
      <w:pPr>
        <w:jc w:val="both"/>
        <w:ind w:left="1220" w:right="1220" w:firstLine="339"/>
        <w:spacing w:after="0" w:line="259" w:lineRule="auto"/>
        <w:rPr>
          <w:sz w:val="20"/>
          <w:szCs w:val="20"/>
          <w:color w:val="auto"/>
        </w:rPr>
      </w:pPr>
      <w:r>
        <w:rPr>
          <w:rFonts w:ascii="Times New Roman" w:cs="Times New Roman" w:eastAsia="Times New Roman" w:hAnsi="Times New Roman"/>
          <w:sz w:val="17"/>
          <w:szCs w:val="17"/>
          <w:color w:val="auto"/>
        </w:rPr>
        <w:t>On May 4, 2026, we consummated the Merger with Cullgen and Merger Sub, pursuant to which we issued an aggregate of 14,450,527 shares of Common Stock and 3,697,235 shares of Series B Preferred Stock, which are convertible into 18,486,175 shares of Common Stock pursuant to the Series B Certificate of Designation, to certain of the Selling Stockholders.</w:t>
      </w:r>
    </w:p>
    <w:p>
      <w:pPr>
        <w:spacing w:after="0" w:line="73" w:lineRule="exact"/>
        <w:rPr>
          <w:sz w:val="20"/>
          <w:szCs w:val="20"/>
          <w:color w:val="auto"/>
        </w:rPr>
      </w:pPr>
    </w:p>
    <w:p>
      <w:pPr>
        <w:jc w:val="both"/>
        <w:ind w:left="1220" w:right="1220" w:firstLine="339"/>
        <w:spacing w:after="0" w:line="264" w:lineRule="auto"/>
        <w:rPr>
          <w:sz w:val="20"/>
          <w:szCs w:val="20"/>
          <w:color w:val="auto"/>
        </w:rPr>
      </w:pPr>
      <w:r>
        <w:rPr>
          <w:rFonts w:ascii="Times New Roman" w:cs="Times New Roman" w:eastAsia="Times New Roman" w:hAnsi="Times New Roman"/>
          <w:sz w:val="17"/>
          <w:szCs w:val="17"/>
          <w:color w:val="auto"/>
        </w:rPr>
        <w:t>We are registering the Resale Shares to permit the Selling Stockholders and their pledgees, donees, transferees or other successors-in-interest that receive their shares after the date of this prospectus to resell or otherwise dispose of the shares in the manner contemplated under “Plan of Distribution” herein.</w:t>
      </w:r>
    </w:p>
    <w:p>
      <w:pPr>
        <w:spacing w:after="0" w:line="68" w:lineRule="exact"/>
        <w:rPr>
          <w:sz w:val="20"/>
          <w:szCs w:val="20"/>
          <w:color w:val="auto"/>
        </w:rPr>
      </w:pPr>
    </w:p>
    <w:p>
      <w:pPr>
        <w:jc w:val="both"/>
        <w:ind w:left="1220" w:right="1220" w:firstLine="339"/>
        <w:spacing w:after="0" w:line="279" w:lineRule="auto"/>
        <w:rPr>
          <w:sz w:val="20"/>
          <w:szCs w:val="20"/>
          <w:color w:val="auto"/>
        </w:rPr>
      </w:pPr>
      <w:r>
        <w:rPr>
          <w:rFonts w:ascii="Times New Roman" w:cs="Times New Roman" w:eastAsia="Times New Roman" w:hAnsi="Times New Roman"/>
          <w:sz w:val="17"/>
          <w:szCs w:val="17"/>
          <w:color w:val="auto"/>
        </w:rPr>
        <w:t>Except as otherwise disclosed herein, the Selling Stockholders do not have, and within the past three years have not had, any position, office or other material relationship with us.</w:t>
      </w:r>
    </w:p>
    <w:p>
      <w:pPr>
        <w:spacing w:after="0" w:line="55" w:lineRule="exact"/>
        <w:rPr>
          <w:sz w:val="20"/>
          <w:szCs w:val="20"/>
          <w:color w:val="auto"/>
        </w:rPr>
      </w:pPr>
    </w:p>
    <w:p>
      <w:pPr>
        <w:jc w:val="both"/>
        <w:ind w:left="1220" w:right="1220" w:firstLine="339"/>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w:t>
      </w:r>
    </w:p>
    <w:p>
      <w:pPr>
        <w:spacing w:after="0" w:line="73" w:lineRule="exact"/>
        <w:rPr>
          <w:sz w:val="20"/>
          <w:szCs w:val="20"/>
          <w:color w:val="auto"/>
        </w:rPr>
      </w:pPr>
    </w:p>
    <w:p>
      <w:pPr>
        <w:jc w:val="both"/>
        <w:ind w:left="1220" w:right="1220" w:firstLine="339"/>
        <w:spacing w:after="0" w:line="252" w:lineRule="auto"/>
        <w:rPr>
          <w:sz w:val="20"/>
          <w:szCs w:val="20"/>
          <w:color w:val="auto"/>
        </w:rPr>
      </w:pPr>
      <w:r>
        <w:rPr>
          <w:rFonts w:ascii="Times New Roman" w:cs="Times New Roman" w:eastAsia="Times New Roman" w:hAnsi="Times New Roman"/>
          <w:sz w:val="17"/>
          <w:szCs w:val="17"/>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except for lock-up agreements with certain executive officers, directors and stockholders of the Company and Cullgen, pursuant to which, subject to specified exceptions, they have agreed not to transfer their shares of Common Stock (or shares convertible for Common Stock) for (a) with respect to one-third of the shares of Common Stock held by them, the 180-day period following the Merger Closing Date, (b) with respect to one-third of the shares of Common Stock held by them, the 12-month period following the Merger Closing Date, and (c) with respect to one-third of the shares of Common Stock held by them, the 18-month period following the Merger Closing Date.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Series B Certificate of Designation.</w:t>
      </w:r>
    </w:p>
    <w:p>
      <w:pPr>
        <w:spacing w:after="0" w:line="82" w:lineRule="exact"/>
        <w:rPr>
          <w:sz w:val="20"/>
          <w:szCs w:val="20"/>
          <w:color w:val="auto"/>
        </w:rPr>
      </w:pPr>
    </w:p>
    <w:p>
      <w:pPr>
        <w:jc w:val="both"/>
        <w:ind w:left="1220" w:right="1220" w:firstLine="339"/>
        <w:spacing w:after="0" w:line="255" w:lineRule="auto"/>
        <w:rPr>
          <w:sz w:val="20"/>
          <w:szCs w:val="20"/>
          <w:color w:val="auto"/>
        </w:rPr>
      </w:pPr>
      <w:r>
        <w:rPr>
          <w:rFonts w:ascii="Times New Roman" w:cs="Times New Roman" w:eastAsia="Times New Roman" w:hAnsi="Times New Roman"/>
          <w:sz w:val="17"/>
          <w:szCs w:val="17"/>
          <w:color w:val="auto"/>
        </w:rPr>
        <w:t>The information set forth below is based upon information obtained from the Selling Stockholders and upon information in our possession regarding the issuance of the Series B Preferred Stock and Common Shares in connection with the Merger. The percentages of Common Stock owned after the offering by each Selling Stockholder below are based on 111,488,849 shares of Common Stock outstanding as of May 31, 2026, and, for each Selling Stockholder, assumes the conversion of only the Series B Preferred Stock owned by such Selling Stockholder but not the Series B Preferred Stock owned by any other Selling Stockholder.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Stock that</w:t>
            </w:r>
          </w:p>
        </w:tc>
        <w:tc>
          <w:tcPr>
            <w:tcW w:w="180" w:type="dxa"/>
            <w:vAlign w:val="bottom"/>
          </w:tcPr>
          <w:p>
            <w:pPr>
              <w:spacing w:after="0"/>
              <w:rPr>
                <w:sz w:val="12"/>
                <w:szCs w:val="12"/>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May</w:t>
            </w: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6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Be Offered</w:t>
            </w:r>
          </w:p>
        </w:tc>
        <w:tc>
          <w:tcPr>
            <w:tcW w:w="180" w:type="dxa"/>
            <w:vAlign w:val="bottom"/>
          </w:tcPr>
          <w:p>
            <w:pPr>
              <w:spacing w:after="0"/>
              <w:rPr>
                <w:sz w:val="12"/>
                <w:szCs w:val="12"/>
                <w:color w:val="auto"/>
              </w:rPr>
            </w:pPr>
          </w:p>
        </w:tc>
        <w:tc>
          <w:tcPr>
            <w:tcW w:w="160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6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Pursuant to</w:t>
            </w:r>
          </w:p>
        </w:tc>
        <w:tc>
          <w:tcPr>
            <w:tcW w:w="180" w:type="dxa"/>
            <w:vAlign w:val="bottom"/>
          </w:tcPr>
          <w:p>
            <w:pPr>
              <w:spacing w:after="0"/>
              <w:rPr>
                <w:sz w:val="12"/>
                <w:szCs w:val="12"/>
                <w:color w:val="auto"/>
              </w:rPr>
            </w:pPr>
          </w:p>
        </w:tc>
        <w:tc>
          <w:tcPr>
            <w:tcW w:w="160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Owned After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60" w:type="dxa"/>
            <w:vAlign w:val="bottom"/>
            <w:gridSpan w:val="2"/>
          </w:tcPr>
          <w:p>
            <w:pPr>
              <w:ind w:left="1220"/>
              <w:spacing w:after="0" w:line="204" w:lineRule="exact"/>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22"/>
                <w:szCs w:val="22"/>
                <w:b w:val="1"/>
                <w:bCs w:val="1"/>
                <w:color w:val="auto"/>
                <w:vertAlign w:val="superscript"/>
              </w:rPr>
              <w:t>(1)</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2"/>
                <w:szCs w:val="22"/>
                <w:b w:val="1"/>
                <w:bCs w:val="1"/>
                <w:color w:val="auto"/>
                <w:w w:val="90"/>
                <w:vertAlign w:val="superscript"/>
              </w:rPr>
              <w:t>(2)</w:t>
            </w: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Prospectus</w:t>
            </w:r>
          </w:p>
        </w:tc>
        <w:tc>
          <w:tcPr>
            <w:tcW w:w="180" w:type="dxa"/>
            <w:vAlign w:val="bottom"/>
          </w:tcPr>
          <w:p>
            <w:pPr>
              <w:spacing w:after="0"/>
              <w:rPr>
                <w:sz w:val="17"/>
                <w:szCs w:val="17"/>
                <w:color w:val="auto"/>
              </w:rPr>
            </w:pPr>
          </w:p>
        </w:tc>
        <w:tc>
          <w:tcPr>
            <w:tcW w:w="1600" w:type="dxa"/>
            <w:vAlign w:val="bottom"/>
            <w:gridSpan w:val="3"/>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2"/>
                <w:szCs w:val="22"/>
                <w:b w:val="1"/>
                <w:bCs w:val="1"/>
                <w:color w:val="auto"/>
                <w:w w:val="90"/>
                <w:vertAlign w:val="superscript"/>
              </w:rPr>
              <w:t>(2)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3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60" w:type="dxa"/>
            <w:vAlign w:val="bottom"/>
            <w:gridSpan w:val="2"/>
          </w:tcPr>
          <w:p>
            <w:pPr>
              <w:spacing w:after="0"/>
              <w:rPr>
                <w:sz w:val="2"/>
                <w:szCs w:val="2"/>
                <w:color w:val="auto"/>
              </w:rPr>
            </w:pPr>
          </w:p>
        </w:tc>
        <w:tc>
          <w:tcPr>
            <w:tcW w:w="178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p>
        </w:tc>
        <w:tc>
          <w:tcPr>
            <w:tcW w:w="344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BC NovLigase Limited</w:t>
            </w:r>
            <w:r>
              <w:rPr>
                <w:rFonts w:ascii="Times New Roman" w:cs="Times New Roman" w:eastAsia="Times New Roman" w:hAnsi="Times New Roman"/>
                <w:sz w:val="27"/>
                <w:szCs w:val="27"/>
                <w:color w:val="auto"/>
                <w:vertAlign w:val="superscript"/>
              </w:rPr>
              <w:t>(3)</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954,417</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Dr. Yue Xiong</w:t>
            </w:r>
            <w:r>
              <w:rPr>
                <w:rFonts w:ascii="Times New Roman" w:cs="Times New Roman" w:eastAsia="Times New Roman" w:hAnsi="Times New Roman"/>
                <w:sz w:val="26"/>
                <w:szCs w:val="26"/>
                <w:color w:val="auto"/>
                <w:vertAlign w:val="superscript"/>
              </w:rPr>
              <w:t>(4)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2,376,500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2,376,500</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Galaxy Alpha L.P.</w:t>
            </w:r>
            <w:r>
              <w:rPr>
                <w:rFonts w:ascii="Times New Roman" w:cs="Times New Roman" w:eastAsia="Times New Roman" w:hAnsi="Times New Roman"/>
                <w:sz w:val="26"/>
                <w:szCs w:val="26"/>
                <w:color w:val="auto"/>
                <w:vertAlign w:val="superscript"/>
              </w:rPr>
              <w:t>(5)</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190,883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GNI Japan</w:t>
            </w:r>
            <w:r>
              <w:rPr>
                <w:rFonts w:ascii="Times New Roman" w:cs="Times New Roman" w:eastAsia="Times New Roman" w:hAnsi="Times New Roman"/>
                <w:sz w:val="26"/>
                <w:szCs w:val="26"/>
                <w:color w:val="auto"/>
                <w:vertAlign w:val="superscript"/>
              </w:rPr>
              <w:t>(6)</w:t>
            </w:r>
          </w:p>
        </w:tc>
        <w:tc>
          <w:tcPr>
            <w:tcW w:w="1780" w:type="dxa"/>
            <w:vAlign w:val="bottom"/>
            <w:gridSpan w:val="3"/>
          </w:tcPr>
          <w:p>
            <w:pPr>
              <w:jc w:val="center"/>
              <w:ind w:left="915"/>
              <w:spacing w:after="0"/>
              <w:rPr>
                <w:sz w:val="20"/>
                <w:szCs w:val="20"/>
                <w:color w:val="auto"/>
              </w:rPr>
            </w:pPr>
            <w:r>
              <w:rPr>
                <w:rFonts w:ascii="Times New Roman" w:cs="Times New Roman" w:eastAsia="Times New Roman" w:hAnsi="Times New Roman"/>
                <w:sz w:val="17"/>
                <w:szCs w:val="17"/>
                <w:color w:val="auto"/>
              </w:rPr>
              <w:t>86,323,020</w:t>
            </w:r>
          </w:p>
        </w:tc>
        <w:tc>
          <w:tcPr>
            <w:tcW w:w="94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9"/>
              </w:rPr>
              <w:t>13,009,130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73,313,885</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65.4%</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HSG Venture VII Holdco, Ltd.</w:t>
            </w:r>
            <w:r>
              <w:rPr>
                <w:rFonts w:ascii="Times New Roman" w:cs="Times New Roman" w:eastAsia="Times New Roman" w:hAnsi="Times New Roman"/>
                <w:sz w:val="26"/>
                <w:szCs w:val="26"/>
                <w:color w:val="auto"/>
                <w:vertAlign w:val="superscript"/>
              </w:rPr>
              <w:t>(7)</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3,750,299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3,750,299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1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JT International Capital Management Ltd.</w:t>
            </w:r>
            <w:r>
              <w:rPr>
                <w:rFonts w:ascii="Times New Roman" w:cs="Times New Roman" w:eastAsia="Times New Roman" w:hAnsi="Times New Roman"/>
                <w:sz w:val="28"/>
                <w:szCs w:val="28"/>
                <w:color w:val="auto"/>
                <w:vertAlign w:val="superscript"/>
              </w:rPr>
              <w:t>(8)</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381,767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381,767</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255" w:right="759" w:bottom="1440" w:gutter="0" w:footer="0" w:header="0"/>
        </w:sectPr>
      </w:pPr>
    </w:p>
    <w:bookmarkStart w:id="16" w:name="page17"/>
    <w:bookmarkEnd w:id="16"/>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144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Stock that</w:t>
            </w:r>
          </w:p>
        </w:tc>
        <w:tc>
          <w:tcPr>
            <w:tcW w:w="180" w:type="dxa"/>
            <w:vAlign w:val="bottom"/>
          </w:tcPr>
          <w:p>
            <w:pPr>
              <w:spacing w:after="0"/>
              <w:rPr>
                <w:sz w:val="12"/>
                <w:szCs w:val="12"/>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May</w:t>
            </w:r>
          </w:p>
        </w:tc>
        <w:tc>
          <w:tcPr>
            <w:tcW w:w="18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Be Offered</w:t>
            </w:r>
          </w:p>
        </w:tc>
        <w:tc>
          <w:tcPr>
            <w:tcW w:w="180" w:type="dxa"/>
            <w:vAlign w:val="bottom"/>
          </w:tcPr>
          <w:p>
            <w:pPr>
              <w:spacing w:after="0"/>
              <w:rPr>
                <w:sz w:val="12"/>
                <w:szCs w:val="12"/>
                <w:color w:val="auto"/>
              </w:rPr>
            </w:pPr>
          </w:p>
        </w:tc>
        <w:tc>
          <w:tcPr>
            <w:tcW w:w="1140" w:type="dxa"/>
            <w:vAlign w:val="bottom"/>
            <w:gridSpan w:val="3"/>
          </w:tcPr>
          <w:p>
            <w:pPr>
              <w:jc w:val="center"/>
              <w:ind w:left="380"/>
              <w:spacing w:after="0" w:line="140"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Pursuant to</w:t>
            </w:r>
          </w:p>
        </w:tc>
        <w:tc>
          <w:tcPr>
            <w:tcW w:w="180" w:type="dxa"/>
            <w:vAlign w:val="bottom"/>
          </w:tcPr>
          <w:p>
            <w:pPr>
              <w:spacing w:after="0"/>
              <w:rPr>
                <w:sz w:val="12"/>
                <w:szCs w:val="12"/>
                <w:color w:val="auto"/>
              </w:rPr>
            </w:pPr>
          </w:p>
        </w:tc>
        <w:tc>
          <w:tcPr>
            <w:tcW w:w="1600" w:type="dxa"/>
            <w:vAlign w:val="bottom"/>
            <w:gridSpan w:val="4"/>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Owned After</w:t>
            </w: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22"/>
                <w:szCs w:val="22"/>
                <w:b w:val="1"/>
                <w:bCs w:val="1"/>
                <w:color w:val="auto"/>
                <w:vertAlign w:val="superscript"/>
              </w:rPr>
              <w:t>(1)</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2"/>
                <w:szCs w:val="22"/>
                <w:b w:val="1"/>
                <w:bCs w:val="1"/>
                <w:color w:val="auto"/>
                <w:w w:val="90"/>
                <w:vertAlign w:val="superscript"/>
              </w:rPr>
              <w:t>(2)</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Prospectus</w:t>
            </w:r>
          </w:p>
        </w:tc>
        <w:tc>
          <w:tcPr>
            <w:tcW w:w="180" w:type="dxa"/>
            <w:vAlign w:val="bottom"/>
          </w:tcPr>
          <w:p>
            <w:pPr>
              <w:spacing w:after="0"/>
              <w:rPr>
                <w:sz w:val="17"/>
                <w:szCs w:val="17"/>
                <w:color w:val="auto"/>
              </w:rPr>
            </w:pPr>
          </w:p>
        </w:tc>
        <w:tc>
          <w:tcPr>
            <w:tcW w:w="1140" w:type="dxa"/>
            <w:vAlign w:val="bottom"/>
            <w:tcBorders>
              <w:bottom w:val="single" w:sz="8" w:color="auto"/>
            </w:tcBorders>
            <w:gridSpan w:val="3"/>
          </w:tcPr>
          <w:p>
            <w:pPr>
              <w:jc w:val="center"/>
              <w:ind w:left="360"/>
              <w:spacing w:after="0" w:line="204"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2"/>
                <w:szCs w:val="22"/>
                <w:b w:val="1"/>
                <w:bCs w:val="1"/>
                <w:color w:val="auto"/>
                <w:w w:val="90"/>
                <w:vertAlign w:val="superscript"/>
              </w:rPr>
              <w:t>(2)</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0" w:type="dxa"/>
            <w:vAlign w:val="bottom"/>
          </w:tcPr>
          <w:p>
            <w:pPr>
              <w:spacing w:after="0"/>
              <w:rPr>
                <w:sz w:val="1"/>
                <w:szCs w:val="1"/>
                <w:color w:val="auto"/>
              </w:rPr>
            </w:pPr>
          </w:p>
        </w:tc>
      </w:tr>
      <w:tr>
        <w:trPr>
          <w:trHeight w:val="24"/>
        </w:trPr>
        <w:tc>
          <w:tcPr>
            <w:tcW w:w="1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80" w:type="dxa"/>
            <w:vAlign w:val="bottom"/>
            <w:gridSpan w:val="2"/>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Kazuhiro Kawauchi</w:t>
            </w:r>
            <w:r>
              <w:rPr>
                <w:rFonts w:ascii="Times New Roman" w:cs="Times New Roman" w:eastAsia="Times New Roman" w:hAnsi="Times New Roman"/>
                <w:sz w:val="27"/>
                <w:szCs w:val="27"/>
                <w:color w:val="auto"/>
                <w:vertAlign w:val="superscript"/>
              </w:rPr>
              <w:t>(9)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c>
          <w:tcPr>
            <w:tcW w:w="1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MSA China Venture Fund II L.P.</w:t>
            </w:r>
            <w:r>
              <w:rPr>
                <w:rFonts w:ascii="Times New Roman" w:cs="Times New Roman" w:eastAsia="Times New Roman" w:hAnsi="Times New Roman"/>
                <w:sz w:val="26"/>
                <w:szCs w:val="26"/>
                <w:color w:val="auto"/>
                <w:vertAlign w:val="superscript"/>
              </w:rPr>
              <w:t>(10)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572,650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572,650</w:t>
            </w:r>
          </w:p>
        </w:tc>
        <w:tc>
          <w:tcPr>
            <w:tcW w:w="180" w:type="dxa"/>
            <w:vAlign w:val="bottom"/>
          </w:tcPr>
          <w:p>
            <w:pPr>
              <w:spacing w:after="0"/>
              <w:rPr>
                <w:sz w:val="19"/>
                <w:szCs w:val="19"/>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Neutron Star HK Limited</w:t>
            </w:r>
            <w:r>
              <w:rPr>
                <w:rFonts w:ascii="Times New Roman" w:cs="Times New Roman" w:eastAsia="Times New Roman" w:hAnsi="Times New Roman"/>
                <w:sz w:val="26"/>
                <w:szCs w:val="26"/>
                <w:color w:val="auto"/>
                <w:vertAlign w:val="superscript"/>
              </w:rPr>
              <w:t>(11)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2,059,296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2,059,296</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Octagon Capital Advisors LP</w:t>
            </w:r>
            <w:r>
              <w:rPr>
                <w:rFonts w:ascii="Times New Roman" w:cs="Times New Roman" w:eastAsia="Times New Roman" w:hAnsi="Times New Roman"/>
                <w:sz w:val="26"/>
                <w:szCs w:val="26"/>
                <w:color w:val="auto"/>
                <w:vertAlign w:val="superscript"/>
              </w:rPr>
              <w:t>(12)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954,416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954,416</w:t>
            </w:r>
          </w:p>
        </w:tc>
        <w:tc>
          <w:tcPr>
            <w:tcW w:w="180" w:type="dxa"/>
            <w:vAlign w:val="bottom"/>
          </w:tcPr>
          <w:p>
            <w:pPr>
              <w:spacing w:after="0"/>
              <w:rPr>
                <w:sz w:val="19"/>
                <w:szCs w:val="19"/>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Shenzhen Xinxifuxing Investment Partnership (Limited</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280" w:type="dxa"/>
            <w:vAlign w:val="bottom"/>
            <w:gridSpan w:val="2"/>
            <w:shd w:val="clear" w:color="auto" w:fill="CCEEFF"/>
          </w:tcPr>
          <w:p>
            <w:pPr>
              <w:ind w:left="160"/>
              <w:spacing w:after="0" w:line="243" w:lineRule="exact"/>
              <w:rPr>
                <w:sz w:val="20"/>
                <w:szCs w:val="20"/>
                <w:color w:val="auto"/>
              </w:rPr>
            </w:pPr>
            <w:r>
              <w:rPr>
                <w:rFonts w:ascii="Times New Roman" w:cs="Times New Roman" w:eastAsia="Times New Roman" w:hAnsi="Times New Roman"/>
                <w:sz w:val="17"/>
                <w:szCs w:val="17"/>
                <w:color w:val="auto"/>
              </w:rPr>
              <w:t>Partnership)</w:t>
            </w:r>
            <w:r>
              <w:rPr>
                <w:rFonts w:ascii="Times New Roman" w:cs="Times New Roman" w:eastAsia="Times New Roman" w:hAnsi="Times New Roman"/>
                <w:sz w:val="28"/>
                <w:szCs w:val="28"/>
                <w:color w:val="auto"/>
                <w:vertAlign w:val="superscript"/>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905,057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905,057</w:t>
            </w:r>
          </w:p>
        </w:tc>
        <w:tc>
          <w:tcPr>
            <w:tcW w:w="1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Sirius Medical Limited</w:t>
            </w:r>
            <w:r>
              <w:rPr>
                <w:rFonts w:ascii="Times New Roman" w:cs="Times New Roman" w:eastAsia="Times New Roman" w:hAnsi="Times New Roman"/>
                <w:sz w:val="26"/>
                <w:szCs w:val="26"/>
                <w:color w:val="auto"/>
                <w:vertAlign w:val="superscript"/>
              </w:rPr>
              <w:t>(14)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724,045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724,045</w:t>
            </w:r>
          </w:p>
        </w:tc>
        <w:tc>
          <w:tcPr>
            <w:tcW w:w="180" w:type="dxa"/>
            <w:vAlign w:val="bottom"/>
          </w:tcPr>
          <w:p>
            <w:pPr>
              <w:spacing w:after="0"/>
              <w:rPr>
                <w:sz w:val="19"/>
                <w:szCs w:val="19"/>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The Jian Jin and Xufang Ye Revocable Trust</w:t>
            </w:r>
            <w:r>
              <w:rPr>
                <w:rFonts w:ascii="Times New Roman" w:cs="Times New Roman" w:eastAsia="Times New Roman" w:hAnsi="Times New Roman"/>
                <w:sz w:val="26"/>
                <w:szCs w:val="26"/>
                <w:color w:val="auto"/>
                <w:vertAlign w:val="superscript"/>
              </w:rPr>
              <w:t>(15)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2,376,500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2,376,500</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Wuxi Guolian Industry Synergy Investment Center (Limited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28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17"/>
                <w:szCs w:val="17"/>
                <w:color w:val="auto"/>
              </w:rPr>
              <w:t>Partnership)</w:t>
            </w:r>
            <w:r>
              <w:rPr>
                <w:rFonts w:ascii="Times New Roman" w:cs="Times New Roman" w:eastAsia="Times New Roman" w:hAnsi="Times New Roman"/>
                <w:sz w:val="28"/>
                <w:szCs w:val="28"/>
                <w:color w:val="auto"/>
                <w:vertAlign w:val="superscript"/>
              </w:rPr>
              <w:t>(16)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905,057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905,057</w:t>
            </w:r>
          </w:p>
        </w:tc>
        <w:tc>
          <w:tcPr>
            <w:tcW w:w="180" w:type="dxa"/>
            <w:vAlign w:val="bottom"/>
          </w:tcPr>
          <w:p>
            <w:pPr>
              <w:spacing w:after="0"/>
              <w:rPr>
                <w:sz w:val="21"/>
                <w:szCs w:val="21"/>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Yuanqing Bencao Investment Limited</w:t>
            </w:r>
            <w:r>
              <w:rPr>
                <w:rFonts w:ascii="Times New Roman" w:cs="Times New Roman" w:eastAsia="Times New Roman" w:hAnsi="Times New Roman"/>
                <w:sz w:val="26"/>
                <w:szCs w:val="26"/>
                <w:color w:val="auto"/>
                <w:vertAlign w:val="superscript"/>
              </w:rPr>
              <w:t>(17)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954,417</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Satya Das</w:t>
            </w:r>
            <w:r>
              <w:rPr>
                <w:rFonts w:ascii="Times New Roman" w:cs="Times New Roman" w:eastAsia="Times New Roman" w:hAnsi="Times New Roman"/>
                <w:sz w:val="26"/>
                <w:szCs w:val="26"/>
                <w:color w:val="auto"/>
                <w:vertAlign w:val="superscript"/>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10,400</w:t>
            </w:r>
          </w:p>
        </w:tc>
        <w:tc>
          <w:tcPr>
            <w:tcW w:w="180" w:type="dxa"/>
            <w:vAlign w:val="bottom"/>
          </w:tcPr>
          <w:p>
            <w:pPr>
              <w:spacing w:after="0"/>
              <w:rPr>
                <w:sz w:val="19"/>
                <w:szCs w:val="19"/>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Hengxu Wei</w:t>
            </w:r>
            <w:r>
              <w:rPr>
                <w:rFonts w:ascii="Times New Roman" w:cs="Times New Roman" w:eastAsia="Times New Roman" w:hAnsi="Times New Roman"/>
                <w:sz w:val="26"/>
                <w:szCs w:val="26"/>
                <w:color w:val="auto"/>
                <w:vertAlign w:val="superscript"/>
              </w:rPr>
              <w:t>(19)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64,402</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John Sasaki</w:t>
            </w:r>
            <w:r>
              <w:rPr>
                <w:rFonts w:ascii="Times New Roman" w:cs="Times New Roman" w:eastAsia="Times New Roman" w:hAnsi="Times New Roman"/>
                <w:sz w:val="26"/>
                <w:szCs w:val="26"/>
                <w:color w:val="auto"/>
                <w:vertAlign w:val="superscript"/>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16,635</w:t>
            </w:r>
          </w:p>
        </w:tc>
        <w:tc>
          <w:tcPr>
            <w:tcW w:w="180" w:type="dxa"/>
            <w:vAlign w:val="bottom"/>
          </w:tcPr>
          <w:p>
            <w:pPr>
              <w:spacing w:after="0"/>
              <w:rPr>
                <w:sz w:val="19"/>
                <w:szCs w:val="19"/>
                <w:color w:val="auto"/>
              </w:rPr>
            </w:pPr>
          </w:p>
        </w:tc>
        <w:tc>
          <w:tcPr>
            <w:tcW w:w="1140" w:type="dxa"/>
            <w:vAlign w:val="bottom"/>
            <w:gridSpan w:val="3"/>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Yang Yang</w:t>
            </w:r>
            <w:r>
              <w:rPr>
                <w:rFonts w:ascii="Times New Roman" w:cs="Times New Roman" w:eastAsia="Times New Roman" w:hAnsi="Times New Roman"/>
                <w:sz w:val="25"/>
                <w:szCs w:val="25"/>
                <w:color w:val="auto"/>
                <w:vertAlign w:val="superscript"/>
              </w:rPr>
              <w:t>(21)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332"/>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1440" w:type="dxa"/>
            <w:vAlign w:val="bottom"/>
            <w:shd w:val="clear" w:color="auto" w:fill="CCEEFF"/>
          </w:tcPr>
          <w:p>
            <w:pPr>
              <w:spacing w:after="0"/>
              <w:rPr>
                <w:sz w:val="4"/>
                <w:szCs w:val="4"/>
                <w:color w:val="auto"/>
              </w:rPr>
            </w:pPr>
          </w:p>
        </w:tc>
        <w:tc>
          <w:tcPr>
            <w:tcW w:w="28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121285</wp:posOffset>
            </wp:positionV>
            <wp:extent cx="7759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214" w:lineRule="exact"/>
        <w:rPr>
          <w:sz w:val="20"/>
          <w:szCs w:val="20"/>
          <w:color w:val="auto"/>
        </w:rPr>
      </w:pPr>
    </w:p>
    <w:p>
      <w:pPr>
        <w:jc w:val="both"/>
        <w:ind w:left="860" w:right="559" w:hanging="329"/>
        <w:spacing w:after="0" w:line="226"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shares of Common Stock. Unless an address is provided below, the address for the holder is 12730 High Bluff Drive, Suite 250, San Diego, CA 92130.</w:t>
      </w:r>
    </w:p>
    <w:p>
      <w:pPr>
        <w:spacing w:after="0" w:line="16" w:lineRule="exact"/>
        <w:rPr>
          <w:rFonts w:ascii="Times New Roman" w:cs="Times New Roman" w:eastAsia="Times New Roman" w:hAnsi="Times New Roman"/>
          <w:sz w:val="14"/>
          <w:szCs w:val="14"/>
          <w:color w:val="auto"/>
        </w:rPr>
      </w:pPr>
    </w:p>
    <w:p>
      <w:pPr>
        <w:jc w:val="both"/>
        <w:ind w:left="860" w:right="539" w:hanging="329"/>
        <w:spacing w:after="0" w:line="214"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 prior to the Conversion Approval, or (ii) if, as a result of such conversion, such holder, together with its affiliates, would beneficially own more than a specified percentage (established by the holder between 0.00% and 19.99%) (the “Beneficial Ownership Limitation”) of the total number of shares of Common Stock issued and outstanding immediately after giving effect to such conversion.</w:t>
      </w:r>
    </w:p>
    <w:p>
      <w:pPr>
        <w:spacing w:after="0" w:line="19" w:lineRule="exact"/>
        <w:rPr>
          <w:rFonts w:ascii="Times New Roman" w:cs="Times New Roman" w:eastAsia="Times New Roman" w:hAnsi="Times New Roman"/>
          <w:sz w:val="14"/>
          <w:szCs w:val="14"/>
          <w:color w:val="auto"/>
        </w:rPr>
      </w:pPr>
    </w:p>
    <w:p>
      <w:pPr>
        <w:ind w:left="860" w:right="559" w:hanging="329"/>
        <w:spacing w:after="0" w:line="234"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954,417 shares of Common Stock. BC NovLigase Limited is managed by Qianye Karen Liu. BC NovLigase Limited’s address is Trinity Chambers, PO Box 4301, Road Town, Tortola, British Virgin Islands.</w:t>
      </w:r>
    </w:p>
    <w:p>
      <w:pPr>
        <w:spacing w:after="0" w:line="17" w:lineRule="exact"/>
        <w:rPr>
          <w:rFonts w:ascii="Times New Roman" w:cs="Times New Roman" w:eastAsia="Times New Roman" w:hAnsi="Times New Roman"/>
          <w:sz w:val="14"/>
          <w:szCs w:val="14"/>
          <w:color w:val="auto"/>
        </w:rPr>
      </w:pPr>
    </w:p>
    <w:p>
      <w:pPr>
        <w:jc w:val="both"/>
        <w:ind w:left="860" w:right="539" w:hanging="329"/>
        <w:spacing w:after="0" w:line="221"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2,376,500 shares of Common Stock issuable upon the conversion of 475,300 shares of Series B Preferred Stock. As of April 1, 2026, shares held by Dr. Yue Xiong were pledged as security pursuant to a lease agreement between Dr. Xiong and GNI USA, Inc., a Delaware corporation (“GNI USA”). The shares of Common Stock issuable upon conversion of the shares of Series B Preferred Stock held by Dr. Xiong are subject to a Beneficial Ownership Limitation of 4.99%.</w:t>
      </w:r>
    </w:p>
    <w:p>
      <w:pPr>
        <w:spacing w:after="0" w:line="18" w:lineRule="exact"/>
        <w:rPr>
          <w:rFonts w:ascii="Times New Roman" w:cs="Times New Roman" w:eastAsia="Times New Roman" w:hAnsi="Times New Roman"/>
          <w:sz w:val="14"/>
          <w:szCs w:val="14"/>
          <w:color w:val="auto"/>
        </w:rPr>
      </w:pPr>
    </w:p>
    <w:p>
      <w:pPr>
        <w:jc w:val="both"/>
        <w:ind w:left="860" w:right="539" w:hanging="329"/>
        <w:spacing w:after="0" w:line="219"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190,883 shares of Common Stock held by Galaxy Alpha L.P., a limited partnership incorporated in Cayman Islands. The registered address of Galaxy Alpha L.P. is Maricorp Services Ltd., P.O. Box 2075, #31 the Strand, 46 Canal Point Drive, Grand Cayman KY1-1105, Cayman Islands. HLC GP III Company Limited (“HLC GP”) acts as the general partner of Galaxy Alpha L.P. HLC GP is wholly owned by Mr. Stephen Hui Wang. The voting and investment power of shares held by Galaxy Alpha L.P. is exercised by Mr. Stephen Hui Wang.</w:t>
      </w:r>
    </w:p>
    <w:p>
      <w:pPr>
        <w:spacing w:after="0" w:line="16" w:lineRule="exact"/>
        <w:rPr>
          <w:rFonts w:ascii="Times New Roman" w:cs="Times New Roman" w:eastAsia="Times New Roman" w:hAnsi="Times New Roman"/>
          <w:sz w:val="14"/>
          <w:szCs w:val="14"/>
          <w:color w:val="auto"/>
        </w:rPr>
      </w:pPr>
    </w:p>
    <w:p>
      <w:pPr>
        <w:jc w:val="both"/>
        <w:ind w:left="860" w:right="539" w:hanging="329"/>
        <w:spacing w:after="0" w:line="214"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72,773,219 shares of Common Stock held by GNI USA, (ii) 540,666 shares of Common Stock issuable upon conversion of 811 shares of Series X Preferred Stock underlying warrants held by GNI USA, (iii) 10,718,530 shares of Common Stock issuable upon the conversion of 2,143,706 shares of Series B Preferred Stock held by GNI USA and (iv) 2,290,600 shares of Common Stock issuable upon the conversion of 458,120 shares of Series B Preferred Stock held by GNI Group Ltd., a company incorporated under the laws of Japan with limited liability (“GNI Japan”). GNI USA, through GNI Japan-affiliated entities, is a wholly owned subsidiary of GNI Japan. By virtue of such relationship, GNI Japan may be deemed to have voting and investment power with respect to the shares held by GNI USA. The address for these entities is c/o GNI Group Ltd., Nihonbashi-Honcho YS Bldg. 3rd Floor 2-2-2 Nihonbashi-Honcho, Chuo-ku, 103-0023 Tokyo, Japan. The shares of Common Stock issuable upon conversion of the shares of Series B Preferred Stock held by each of GNI USA and GNI Japan are subject to a Beneficial Ownership Limitation of 19.99%.</w:t>
      </w:r>
    </w:p>
    <w:p>
      <w:pPr>
        <w:spacing w:after="0" w:line="19" w:lineRule="exact"/>
        <w:rPr>
          <w:rFonts w:ascii="Times New Roman" w:cs="Times New Roman" w:eastAsia="Times New Roman" w:hAnsi="Times New Roman"/>
          <w:sz w:val="14"/>
          <w:szCs w:val="14"/>
          <w:color w:val="auto"/>
        </w:rPr>
      </w:pPr>
    </w:p>
    <w:p>
      <w:pPr>
        <w:jc w:val="both"/>
        <w:ind w:left="860" w:right="539" w:hanging="329"/>
        <w:spacing w:after="0" w:line="219"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3,750,299 shares of Common Stock held by HSG Venture VII Holdco, Ltd., an exempted company with limited liability incorporated under the laws of the Cayman Islands. HSG Venture VII Holdco, Ltd. is wholly owned by HongShan Capital Venture Fund VII, L.P., whose general partner is HSG Venture VII Management, L.P., whose general partner in turn, is HSG Holding Limited. The registered address of HSG Venture VII Holdco, Ltd. is Maples Corporate Services Limited, PO Box 309, Ugland House, South Church Street, Grand Cayman, KY1-1104, Cayman Islands.</w:t>
      </w:r>
    </w:p>
    <w:p>
      <w:pPr>
        <w:spacing w:after="0" w:line="16" w:lineRule="exact"/>
        <w:rPr>
          <w:rFonts w:ascii="Times New Roman" w:cs="Times New Roman" w:eastAsia="Times New Roman" w:hAnsi="Times New Roman"/>
          <w:sz w:val="14"/>
          <w:szCs w:val="14"/>
          <w:color w:val="auto"/>
        </w:rPr>
      </w:pPr>
    </w:p>
    <w:p>
      <w:pPr>
        <w:jc w:val="both"/>
        <w:ind w:left="860" w:right="539" w:hanging="329"/>
        <w:spacing w:after="0" w:line="217"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381,767 shares of Common Stock held by JT International Capital Management Limited (“JT International Capital”), a corporation incorporated in Cayman Islands. The registered address of JT International Capital is Campbells Corporate Services Limited, Floor 4, Willow House, Cricket Square, Grand Cayman KY1-9010, Cayman Islands. JT International is controlled by JT Investment Fund SPC South China Venture Capital Healthcare Fund SP (“SCVC Healthcare”). JT International Financial Limited is the fund manager of SCVC Healthcare, and is wholly-owned by Nice Wealth International Holdings Limited, which is in turn wholly-owned by Mr. Ping Hing Tsoi.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7" w:name="page18"/>
    <w:bookmarkEnd w:id="17"/>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11,224 shares of Common Stock.</w:t>
      </w:r>
    </w:p>
    <w:p>
      <w:pPr>
        <w:spacing w:after="0" w:line="30" w:lineRule="exact"/>
        <w:rPr>
          <w:rFonts w:ascii="Times New Roman" w:cs="Times New Roman" w:eastAsia="Times New Roman" w:hAnsi="Times New Roman"/>
          <w:sz w:val="14"/>
          <w:szCs w:val="14"/>
          <w:color w:val="auto"/>
        </w:rPr>
      </w:pPr>
    </w:p>
    <w:p>
      <w:pPr>
        <w:jc w:val="both"/>
        <w:ind w:left="860" w:right="539" w:hanging="329"/>
        <w:spacing w:after="0" w:line="273" w:lineRule="auto"/>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572,650 shares of Common Stock held by MSA China Venture Fund II L.P. MSA China Venture Fund II L.P. is managed by MSA China Fund II GP, LLC, its general partner (“the General Partner”). Yu Zeng is the Manager of the General Partner. MSA China Venture Fund II L.P.’s address is 2106, 21F, Radiance Building, No. 6, Wangjing East Park 4th District, Chaoyang District, Beijing, China.</w:t>
      </w:r>
    </w:p>
    <w:p>
      <w:pPr>
        <w:jc w:val="both"/>
        <w:ind w:left="860" w:right="539" w:hanging="329"/>
        <w:spacing w:after="0" w:line="221"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2,059,296 shares of Common Stock held by Neutron Star HK Limited, a private company limited by shares registered in Hong Kong (“Neutron Star HK Limited”). The address for Neutron Star HK Limited is Suite 603, 6/F, Laws Commercial Plaza, 788 Cheung Sha Wan Road, Kowloon, Hong Kong. The voting and investment power of shares held by Neutron Star HK Limited is exercised by Mr. Stephen Hui Wang.</w:t>
      </w:r>
    </w:p>
    <w:p>
      <w:pPr>
        <w:spacing w:after="0" w:line="11" w:lineRule="exact"/>
        <w:rPr>
          <w:rFonts w:ascii="Times New Roman" w:cs="Times New Roman" w:eastAsia="Times New Roman" w:hAnsi="Times New Roman"/>
          <w:sz w:val="14"/>
          <w:szCs w:val="14"/>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477,208 shares of Common Stock held by Octagon Investments Master Fund L.P. (“Octagon Master Fund”) and</w:t>
      </w:r>
    </w:p>
    <w:p>
      <w:pPr>
        <w:jc w:val="both"/>
        <w:ind w:left="860" w:right="539" w:firstLine="2"/>
        <w:spacing w:after="0" w:line="212" w:lineRule="auto"/>
        <w:tabs>
          <w:tab w:leader="none" w:pos="1077"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477,208 shares of Common Stock held by Octagon Coinvest Opportunities Fund L.P. (“Octagon Coinvest Fund”). Octagon Capital Advisors LP (“Octagon”) serves as the investment manager of the Octagon Master Fund and Octagon Coinvest Fund. Dr. Ting Jia, as the principal beneficial owner of Octagon (“Dr. Jia”), is the managing member of Octagon. By virtue of these relationships, each of Octagon and Dr. Jia may be deemed to beneficially own the foregoing shares of our Common Stock. Each of Octagon Master Fund and Octagon Coinvest Fund hold the shares of our Common Stock for the benefit of their respective investors. Each of the Octagon Master Fund, Octagon Coinvest Fund and Octagon, for the benefit of their respective investors, have the right to (1) directly or indirectly alone or with others, vote or dispose of our shares of Common Stock and (2) receive, or the power to direct the receipt of, dividends from, or the proceeds from the sale of, the shares of Common Stock. The address for the foregoing is 654 Madison Avenue, 21st Floor, New York, New York 10065.</w:t>
      </w:r>
    </w:p>
    <w:p>
      <w:pPr>
        <w:spacing w:after="0" w:line="17" w:lineRule="exact"/>
        <w:rPr>
          <w:rFonts w:ascii="Times New Roman" w:cs="Times New Roman" w:eastAsia="Times New Roman" w:hAnsi="Times New Roman"/>
          <w:sz w:val="14"/>
          <w:szCs w:val="14"/>
          <w:color w:val="auto"/>
        </w:rPr>
      </w:pPr>
    </w:p>
    <w:p>
      <w:pPr>
        <w:jc w:val="both"/>
        <w:ind w:left="860" w:right="539" w:hanging="329"/>
        <w:spacing w:after="0" w:line="189"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905,057 shares of Common Stock. Shenzhen Xinxifuxing Investment Partnership (Limited Partnership) is managed by Lan Youjin. Shenzhen Xinxifuxing Investment Partnership (Limited Partnership)’s address is 35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East Tower, Raffles Plaza, North Bund, 1089 Dongdaming Road, Hongkou District, Shanghai, China.</w:t>
      </w:r>
    </w:p>
    <w:p>
      <w:pPr>
        <w:spacing w:after="0" w:line="18" w:lineRule="exact"/>
        <w:rPr>
          <w:rFonts w:ascii="Times New Roman" w:cs="Times New Roman" w:eastAsia="Times New Roman" w:hAnsi="Times New Roman"/>
          <w:sz w:val="14"/>
          <w:szCs w:val="14"/>
          <w:color w:val="auto"/>
        </w:rPr>
      </w:pPr>
    </w:p>
    <w:p>
      <w:pPr>
        <w:jc w:val="both"/>
        <w:ind w:left="860" w:right="539" w:hanging="329"/>
        <w:spacing w:after="0" w:line="221"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724,045 shares of Common Stock issuable upon the conversion of 146,241 shares of Series B Preferred Stock held by Sirius Medical Limited. Sirius Medical Limited is managed by Bing Chen. Sirius Medical Limited’s address is 611, T1, South Yanggao Road, Pudong District, Shanghai, China. The shares of Common Stock issuable upon conversion of the shares of Series B Preferred Stock held by Sirius Medical Limited are subject to a Beneficial Ownership Limitation of 4.99%.</w:t>
      </w:r>
    </w:p>
    <w:p>
      <w:pPr>
        <w:spacing w:after="0" w:line="18" w:lineRule="exact"/>
        <w:rPr>
          <w:rFonts w:ascii="Times New Roman" w:cs="Times New Roman" w:eastAsia="Times New Roman" w:hAnsi="Times New Roman"/>
          <w:sz w:val="14"/>
          <w:szCs w:val="14"/>
          <w:color w:val="auto"/>
        </w:rPr>
      </w:pPr>
    </w:p>
    <w:p>
      <w:pPr>
        <w:jc w:val="both"/>
        <w:ind w:left="860" w:right="539" w:hanging="329"/>
        <w:spacing w:after="0" w:line="221"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2,376,500 shares of Common Stock issuable upon the conversion of 475,300 shares of Series B Preferred Stock held by a trust, for which Jian Jin and his spouse serve as co-trustees. The shares of Common Stock issuable upon conversion of the shares of Series B Preferred Stock held by the trust are subject to a Beneficial Ownership Limitation of 4.99%. The mailing address for the trust is 13520 Saw Palm Creek Trail, Bradenton, FL 34211.</w:t>
      </w:r>
    </w:p>
    <w:p>
      <w:pPr>
        <w:spacing w:after="0" w:line="18" w:lineRule="exact"/>
        <w:rPr>
          <w:rFonts w:ascii="Times New Roman" w:cs="Times New Roman" w:eastAsia="Times New Roman" w:hAnsi="Times New Roman"/>
          <w:sz w:val="14"/>
          <w:szCs w:val="14"/>
          <w:color w:val="auto"/>
        </w:rPr>
      </w:pPr>
    </w:p>
    <w:p>
      <w:pPr>
        <w:ind w:left="860" w:right="559" w:hanging="329"/>
        <w:spacing w:after="0" w:line="234"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905,057 shares of Common Stock held by Wuxi Guolian Industry Synergy Investment Center (Limited Partnership) (“Wuxi Guolian”). Wuxi Guolian is managed by Weimin Zhang.</w:t>
      </w:r>
    </w:p>
    <w:p>
      <w:pPr>
        <w:spacing w:after="0" w:line="17" w:lineRule="exact"/>
        <w:rPr>
          <w:rFonts w:ascii="Times New Roman" w:cs="Times New Roman" w:eastAsia="Times New Roman" w:hAnsi="Times New Roman"/>
          <w:sz w:val="14"/>
          <w:szCs w:val="14"/>
          <w:color w:val="auto"/>
        </w:rPr>
      </w:pPr>
    </w:p>
    <w:p>
      <w:pPr>
        <w:jc w:val="both"/>
        <w:ind w:left="860" w:right="539" w:hanging="329"/>
        <w:spacing w:after="0" w:line="226"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954,417 shares of Common Stock held by Yuanqing Bencao Investment Limited (“Yuanqing Bencao”). Yuanqing Bencao is managed by Li Wei Jia. Yuanqing Bencao’s address is Room D1201, Science and Technology Building, Tsinghua Science and Technology Park, Haidan District, Beijing, China.</w:t>
      </w:r>
    </w:p>
    <w:p>
      <w:pPr>
        <w:spacing w:after="0" w:line="16" w:lineRule="exact"/>
        <w:rPr>
          <w:rFonts w:ascii="Times New Roman" w:cs="Times New Roman" w:eastAsia="Times New Roman" w:hAnsi="Times New Roman"/>
          <w:sz w:val="14"/>
          <w:szCs w:val="14"/>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10,400 shares of Common Stock.</w:t>
      </w:r>
    </w:p>
    <w:p>
      <w:pPr>
        <w:spacing w:after="0" w:line="30" w:lineRule="exact"/>
        <w:rPr>
          <w:rFonts w:ascii="Times New Roman" w:cs="Times New Roman" w:eastAsia="Times New Roman" w:hAnsi="Times New Roman"/>
          <w:sz w:val="14"/>
          <w:szCs w:val="14"/>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64,402 shares of Common Stock.</w:t>
      </w:r>
    </w:p>
    <w:p>
      <w:pPr>
        <w:spacing w:after="0" w:line="30" w:lineRule="exact"/>
        <w:rPr>
          <w:rFonts w:ascii="Times New Roman" w:cs="Times New Roman" w:eastAsia="Times New Roman" w:hAnsi="Times New Roman"/>
          <w:sz w:val="14"/>
          <w:szCs w:val="14"/>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16,635 shares of Common Stock.</w:t>
      </w:r>
    </w:p>
    <w:p>
      <w:pPr>
        <w:spacing w:after="0" w:line="30" w:lineRule="exact"/>
        <w:rPr>
          <w:rFonts w:ascii="Times New Roman" w:cs="Times New Roman" w:eastAsia="Times New Roman" w:hAnsi="Times New Roman"/>
          <w:sz w:val="14"/>
          <w:szCs w:val="14"/>
          <w:color w:val="auto"/>
        </w:rPr>
      </w:pPr>
    </w:p>
    <w:p>
      <w:pPr>
        <w:ind w:left="860" w:hanging="32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4,436 shares of Common Stock.</w:t>
      </w:r>
    </w:p>
    <w:p>
      <w:pPr>
        <w:spacing w:after="0" w:line="3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Relationship with the Selling Stockholders</w:t>
      </w:r>
    </w:p>
    <w:p>
      <w:pPr>
        <w:spacing w:after="0" w:line="114"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In connection with the Closing of the Merger, we entered into the Registration Rights Agreement with Cullgen and the Cullgen Holders. We consider GNI Japan and GNI USA to be related parties as they are holders of more than 5% of our Common Stock.</w:t>
      </w:r>
    </w:p>
    <w:p>
      <w:pPr>
        <w:spacing w:after="0" w:line="3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Registration Rights Agreement</w:t>
      </w:r>
    </w:p>
    <w:p>
      <w:pPr>
        <w:spacing w:after="0" w:line="114"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Pursuant to the terms of the Registration Rights Agreement, we are required to prepare and file with the SEC a registration statement that permits the resale or other disposition of the Selling Stockholders’ Common Shares and Conversion Series B Shares issued to such Selling Stockholders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Registration Rights Agreement). We are filing this registration statement, of which this prospectus forms a part, to satisfy our obligations under the Registration Rights Agreement.</w:t>
      </w:r>
    </w:p>
    <w:p>
      <w:pPr>
        <w:spacing w:after="0" w:line="74" w:lineRule="exact"/>
        <w:rPr>
          <w:sz w:val="20"/>
          <w:szCs w:val="20"/>
          <w:color w:val="auto"/>
        </w:rPr>
      </w:pPr>
    </w:p>
    <w:p>
      <w:pPr>
        <w:jc w:val="both"/>
        <w:ind w:left="540" w:right="539" w:firstLine="339"/>
        <w:spacing w:after="0" w:line="274" w:lineRule="auto"/>
        <w:rPr>
          <w:sz w:val="20"/>
          <w:szCs w:val="20"/>
          <w:color w:val="auto"/>
        </w:rPr>
      </w:pPr>
      <w:r>
        <w:rPr>
          <w:rFonts w:ascii="Times New Roman" w:cs="Times New Roman" w:eastAsia="Times New Roman" w:hAnsi="Times New Roman"/>
          <w:sz w:val="16"/>
          <w:szCs w:val="16"/>
          <w:color w:val="auto"/>
        </w:rPr>
        <w:t>We have also agreed, among other things, to indemnify the Cullgen Holders and each of their respective officers, directors, members, employees, partners, managers, stockholders, affiliates, investment advisors and agents, each person who controls any such Cullgen 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Registration Rights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114" w:lineRule="exact"/>
        <w:rPr>
          <w:sz w:val="20"/>
          <w:szCs w:val="20"/>
          <w:color w:val="auto"/>
        </w:rPr>
      </w:pPr>
    </w:p>
    <w:p>
      <w:pPr>
        <w:jc w:val="both"/>
        <w:ind w:left="540" w:right="539" w:firstLine="339"/>
        <w:spacing w:after="0" w:line="288" w:lineRule="auto"/>
        <w:rPr>
          <w:sz w:val="20"/>
          <w:szCs w:val="20"/>
          <w:color w:val="auto"/>
        </w:rPr>
      </w:pPr>
      <w:r>
        <w:rPr>
          <w:rFonts w:ascii="Times New Roman" w:cs="Times New Roman" w:eastAsia="Times New Roman" w:hAnsi="Times New Roman"/>
          <w:sz w:val="16"/>
          <w:szCs w:val="16"/>
          <w:color w:val="auto"/>
        </w:rPr>
        <w:t>Under our restated certificate of incorporation (the “Certificate of Incorporation”), we have the authority to issue 400,000,000 shares of Common Stock. As of May 31, 2026, 111,488,849 shares of Common Stock were issued and outstanding. All shares of Common Stock will, when issued, be duly authorized, fully paid and nonassessable.</w:t>
      </w:r>
    </w:p>
    <w:p>
      <w:pPr>
        <w:spacing w:after="0" w:line="47"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color w:val="auto"/>
        </w:rPr>
        <w:t>. Subject to preferential dividend rights of any other class or series of stock, the holders of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are entitled to receive dividends, including dividends of our stock, as and when declared by the Board, subject to any limitations imposed by law and to the rights of the holders, if any, of our preferred stock. On September 20, 2022, we paid a special, one-time cash dividend of approximately $45.0 million (or $1.43 per share) to the holders of Common Stock of record as of the close of business on September 6, 2022. On January 12, 2023, we paid a special, one-time cash dividend of approximately $7.6 million (or $0.24 per share) to the holders of Common Stock of record as of the close of business on January 5, 2023. In June 2023, we distributed $3.5 million, which reflected, in connection with an asset purchase agreement with Vertex Pharmaceuticals Inc. (“Vertex”), the hold-back amount received from Vertex less expenses and a reserve for potential tax liabilities, to holders of the contingent value right issued to our holders of Common Stock of record on January 5, 2023 (the “CVR Holders”). On August 26, 2024, we distributed approximately $12.6 million (or $0.40 per contingent value right) to the CVR Holders. We do not anticipate paying periodic cash dividends on Common Stock for the foreseeable future. Any future determination about the payment of dividends will be made at the discretion of the Board and will depend upon our earnings, if any, capital requirements, operating and financial conditions and on such other factors as the Board deems relevant.</w:t>
      </w:r>
    </w:p>
    <w:p>
      <w:pPr>
        <w:spacing w:after="0" w:line="79" w:lineRule="exact"/>
        <w:rPr>
          <w:sz w:val="20"/>
          <w:szCs w:val="20"/>
          <w:color w:val="auto"/>
        </w:rPr>
      </w:pPr>
    </w:p>
    <w:p>
      <w:pPr>
        <w:jc w:val="both"/>
        <w:ind w:left="540" w:right="539" w:firstLine="33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Liquidation</w:t>
      </w:r>
      <w:r>
        <w:rPr>
          <w:rFonts w:ascii="Times New Roman" w:cs="Times New Roman" w:eastAsia="Times New Roman" w:hAnsi="Times New Roman"/>
          <w:sz w:val="17"/>
          <w:szCs w:val="17"/>
          <w:color w:val="auto"/>
        </w:rPr>
        <w:t>. In the event we are liquidated, dissolved or our affairs are wound up, after we pay or make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adequate provision for all of our known debts and liabilities, each holder of Common Stock will be entitled to share ratably in all assets that remain, subject to any rights that are granted to the holders of any class or series of preferred stock.</w:t>
      </w:r>
    </w:p>
    <w:p>
      <w:pPr>
        <w:spacing w:after="0" w:line="67"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Voting Rights</w:t>
      </w:r>
      <w:r>
        <w:rPr>
          <w:rFonts w:ascii="Times New Roman" w:cs="Times New Roman" w:eastAsia="Times New Roman" w:hAnsi="Times New Roman"/>
          <w:sz w:val="17"/>
          <w:szCs w:val="17"/>
          <w:color w:val="auto"/>
        </w:rPr>
        <w:t>. For all matters submitted to a vote of stockholders, each holder of Common Stock is entitled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vote for each share registered in his or her name. Except as may be required by law and in connection with some significant actions, such as mergers, consolidations, or amendments to the Certificate of Incorporation that affect the rights of stockholders, holders of Common Stock vote together as a single class. There is no cumulative voting in the election of our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74" w:lineRule="exact"/>
        <w:rPr>
          <w:sz w:val="20"/>
          <w:szCs w:val="20"/>
          <w:color w:val="auto"/>
        </w:rPr>
      </w:pPr>
    </w:p>
    <w:p>
      <w:pPr>
        <w:jc w:val="both"/>
        <w:ind w:left="540" w:right="539" w:firstLine="33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Other Rights and Restrictions</w:t>
      </w:r>
      <w:r>
        <w:rPr>
          <w:rFonts w:ascii="Times New Roman" w:cs="Times New Roman" w:eastAsia="Times New Roman" w:hAnsi="Times New Roman"/>
          <w:sz w:val="17"/>
          <w:szCs w:val="17"/>
          <w:color w:val="auto"/>
        </w:rPr>
        <w:t>. Subject to the preferential rights of any other class or series of stock, all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 The Certificate of Incorporation and amended and restated bylaws (the “Bylaws”) do not restrict the ability of a holder of Common Stock to transfer his or her shares of Common Stock.</w:t>
      </w:r>
    </w:p>
    <w:p>
      <w:pPr>
        <w:spacing w:after="0" w:line="77"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The rights, powers, preferences and privileges of holders of Common Stock are subject to, and may be adversely affected by, the rights of holders of shares of any series of preferred stock which we may designate and issue in the future.</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Description of Preferred Stock</w:t>
      </w:r>
    </w:p>
    <w:p>
      <w:pPr>
        <w:spacing w:after="0" w:line="114"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Under the Certificate of Incorporation, we have authority, subject to any limitations prescribed by law and without further stockholder approval, to issue from time to time up to 5,000,000 shares of preferred stock, par value $0.001 per share, in one or more series. On December 22, 2022, we designated 123,418 shares of our preferred stock as “Series X Convertible Preferred Stock” (the “Series X Preferred Stock”). As of April 1, 2026, we had zero shares of Series X Preferred Stock issued and outstanding. On February 23, 2026, the Board authorized the issuance of shares of the Series B Preferred Stock, pursuant to the terms of the Merger Agreement.</w:t>
      </w:r>
    </w:p>
    <w:p>
      <w:pPr>
        <w:spacing w:after="0" w:line="78"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Pursuant to the Certificate of Incorporation, we are authorized to issue “blank check” preferred stock, which may be issued from time to time in one or more series upon authorization by the Board. The Board, without further approval of the stockholders, is authorized to fix the designation, powers, preferences, relative, participating optional or other special rights, and any qualifications, limitations and restrictions applicable to each series of the preferred stock. The issuance of preferred stock, while providing flexibility in connection with possible acquisitions and other corporate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9" w:name="page20"/>
    <w:bookmarkEnd w:id="19"/>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540" w:right="539"/>
        <w:spacing w:after="0" w:line="264" w:lineRule="auto"/>
        <w:rPr>
          <w:sz w:val="20"/>
          <w:szCs w:val="20"/>
          <w:color w:val="auto"/>
        </w:rPr>
      </w:pPr>
      <w:r>
        <w:rPr>
          <w:rFonts w:ascii="Times New Roman" w:cs="Times New Roman" w:eastAsia="Times New Roman" w:hAnsi="Times New Roman"/>
          <w:sz w:val="17"/>
          <w:szCs w:val="17"/>
          <w:color w:val="auto"/>
        </w:rPr>
        <w:t>purposes could, among other things, adversely affect the voting power or rights of the holders of Common Stock and, under certain circumstances, make it more difficult for a third party to gain control of us, discourage bids for our Common Stock at a premium or otherwise adversely affect the market price of the Common Stock.</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Series X Convertible Preferred Stock</w:t>
      </w:r>
    </w:p>
    <w:p>
      <w:pPr>
        <w:spacing w:after="0" w:line="110" w:lineRule="exact"/>
        <w:rPr>
          <w:sz w:val="20"/>
          <w:szCs w:val="20"/>
          <w:color w:val="auto"/>
        </w:rPr>
      </w:pPr>
    </w:p>
    <w:p>
      <w:pPr>
        <w:jc w:val="both"/>
        <w:ind w:left="540" w:right="539" w:firstLine="33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Conversion</w:t>
      </w:r>
      <w:r>
        <w:rPr>
          <w:rFonts w:ascii="Times New Roman" w:cs="Times New Roman" w:eastAsia="Times New Roman" w:hAnsi="Times New Roman"/>
          <w:sz w:val="16"/>
          <w:szCs w:val="16"/>
          <w:color w:val="auto"/>
        </w:rPr>
        <w:t>. Under the Certificate of Incorporation, (i) effective as of 5:00 p.m. (New York City time) 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second business day after the date on which such stockholder approval is received, each share of Series X Preferred Stock then outstanding automatically converts into approximately 10,000 shares of Common Stock, and (ii) at any time thereafter at the option of the holder thereof, into approximately 10,000 shares of Common Stock, in the case of each of (i) and (ii) subject to certain beneficial ownership limitations, including that a holder of Series X Preferred Stock is prohibited from converting shares of Series X Preferred Stock into shares of Common Stock if, as a result of such conversion, such holder, together with its affiliates, would beneficially own more than a specified percentage (to be initially set at 9.9% and thereafter adjusted by the holder to a number between 4.9% and 19.9%) of the total number of shares of Common Stock issued and outstanding immediately after giving effect to such conversion.</w:t>
      </w:r>
    </w:p>
    <w:p>
      <w:pPr>
        <w:spacing w:after="0" w:line="59" w:lineRule="exact"/>
        <w:rPr>
          <w:sz w:val="20"/>
          <w:szCs w:val="20"/>
          <w:color w:val="auto"/>
        </w:rPr>
      </w:pPr>
    </w:p>
    <w:p>
      <w:pPr>
        <w:jc w:val="both"/>
        <w:ind w:left="540" w:right="539" w:firstLine="33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Voting Rights</w:t>
      </w:r>
      <w:r>
        <w:rPr>
          <w:rFonts w:ascii="Times New Roman" w:cs="Times New Roman" w:eastAsia="Times New Roman" w:hAnsi="Times New Roman"/>
          <w:sz w:val="17"/>
          <w:szCs w:val="17"/>
          <w:color w:val="auto"/>
        </w:rPr>
        <w:t>. Except as otherwise provided in the Certificate of Designation of Preferences, Rights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Limitations of Series X Convertible Preferred Stock, filed with the Secretary of State of the State of Delaware on December 27, 2022, as amended on October 30, 2023 (as amended, the “Series X Certificate of Designation”) or as otherwise required by the Delaware General Corporation Law (the “DGCL”), Series X Preferred Stock does not have voting rights. However, as long as any shares of Series X Preferred Stock are outstanding, in addition to any other requirement of the DGCL or the Certificate of Incorporation, we shall not, without the affirmative vote of the holders of a majority of the then outstanding shares of Series X Preferred Stock, (i) alter or change adversely the powers, preferences or rights given to Series X Preferred Stock or alter or amend the Series X Certificate of Designation, amend or repeal any provision of or add any provision to, the Certificate of Incorporation or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Series X Preferred Stock, regardless of whether any of the foregoing actions shall be by means of amendment to the Certificate of Incorporation or by merger, consolidation or otherwise, (ii) issue further shares of Series X Preferred Stock or increase or decrease (other than by conversion) the number of authorized shares of Series X Preferred Stock, (iii) at any time while at least 30% of the originally issued Series X Preferred Stock remains issued and outstanding, consummate either: (A) any Fundamental Transaction (as defined in the Series X Certificate of Designation) or (B) any merger or consolidation of the combined company with or into another entity or any stock sale to, or other business combination in which the combined company’s stockholders immediately before such transaction do not hold at least a majority of the capital stock of the combined company immediately after such transaction, or (iv) enter into any agreement with respect to any of the foregoing.</w:t>
      </w:r>
    </w:p>
    <w:p>
      <w:pPr>
        <w:spacing w:after="0" w:line="88"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color w:val="auto"/>
        </w:rPr>
        <w:t>. Holders of Series X Preferred Stock shall be entitled to receive when, as and if dividends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declared and paid on shares of Common Stock, an equivalent dividend (with the same dividend declaration date and payment date), calculated on an as-converted basis without regard to the Beneficial Ownership Limitation (as defined in the Series X Certificate of Designation), provided, however, in no event shall holders of Series X Preferred Stock be entitled to receive (a) the “rights” distributed pursuant to the Contingent Value Rights Agreement, dated December 26, 2022, as amended on March 29, 2023 (as amended, the “CVR Agreement”) or any amounts paid under the CVR Agreement, or (b) cash distributions declared by the combined company on or prior to the closing of the transactions contemplated by the Business Combination Agreement, dated as of December 26, 2022, as amended on March 29, 2023 and August 30, 2023, by and among us, GNI USA, GNI Japan, GNI Hong Kong Limited, a company incorporated under the laws of Hong Kong with limited liability, Shanghai Genomics, Inc., a company organized under the laws of the People’s Republic of China, the Minority Holders (as defined therein) and Continent Pharmaceuticals Inc., a Cayman Islands company limited by shares.</w:t>
      </w:r>
    </w:p>
    <w:p>
      <w:pPr>
        <w:spacing w:after="0" w:line="74"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Liquidation</w:t>
      </w:r>
      <w:r>
        <w:rPr>
          <w:rFonts w:ascii="Times New Roman" w:cs="Times New Roman" w:eastAsia="Times New Roman" w:hAnsi="Times New Roman"/>
          <w:sz w:val="17"/>
          <w:szCs w:val="17"/>
          <w:color w:val="auto"/>
        </w:rPr>
        <w:t>. Series X Preferred Stock ranks (i) senior to any class or series of capital stock of the combined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hereafter created specifically ranking by its terms junior to any Series X Preferred Stock; (ii) on parity with Common Stock and any class or series of capital stock of the combined company hereafter created specifically ranking by its terms on parity with Series X Preferred Stock; and (iii) junior to (A) any class or series of capital stock of the combined company hereafter created specifically ranking by its terms senior to any Series X Preferred Stock or (B) any “rights” distributed pursuant to the CVR Agreement or any amounts paid under the CVR Agreement, in each case, as to distributions of assets upon liquidation, dissolution or winding up of the combined company, whether voluntarily or involuntarily.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110" w:lineRule="exact"/>
        <w:rPr>
          <w:sz w:val="20"/>
          <w:szCs w:val="20"/>
          <w:color w:val="auto"/>
        </w:rPr>
      </w:pPr>
    </w:p>
    <w:p>
      <w:pPr>
        <w:jc w:val="both"/>
        <w:ind w:left="540" w:right="539" w:firstLine="33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Each share of Series B Preferred Stock then outstanding shall be convertible, at any time and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time to time following 5:00 p.m. Eastern time on the third business day after the Conversion Approval, at the option of the holder thereof, into a number of shares of Common Stock equal to the Conversion Ratio, subject to certain beneficial ownership limitations as set forth in the Series B Certificate of Designation. The “Conversion Ratio” for each share of Series B Preferred Stock is five (5) shares of Common Stock issuable upon the conversion of each share of Series B Preferred Stock (corresponding to a ratio of 5:1), subject to adjustment as provided in the Series B Certificate of Designation. Notwithstanding anything herein to the contrary, a holder of Series B Preferred Stock may not convert their shares into Common Stock if such holder has not executed and delivered to the Company a Lock-Up Agreement.</w:t>
      </w:r>
    </w:p>
    <w:p>
      <w:pPr>
        <w:spacing w:after="0" w:line="74" w:lineRule="exact"/>
        <w:rPr>
          <w:sz w:val="20"/>
          <w:szCs w:val="20"/>
          <w:color w:val="auto"/>
        </w:rPr>
      </w:pPr>
    </w:p>
    <w:p>
      <w:pPr>
        <w:jc w:val="both"/>
        <w:ind w:left="540" w:right="539" w:firstLine="33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Voting Rights</w:t>
      </w:r>
      <w:r>
        <w:rPr>
          <w:rFonts w:ascii="Times New Roman" w:cs="Times New Roman" w:eastAsia="Times New Roman" w:hAnsi="Times New Roman"/>
          <w:sz w:val="17"/>
          <w:szCs w:val="17"/>
          <w:color w:val="auto"/>
        </w:rPr>
        <w:t>. On all matters submitted to a vote of the Company’s stockholders, the holders of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Series B Preferred Stock shall vote together with the holders of Common Stock as a single class and, in connection therewith, each holder of outstanding shares of Series B Preferred Stock shall be entitled to cast one vote for each share of Series B Preferred Stock held by such holder as of the record date for determining stockholders entitled to vote on such matter. In addition to any other vote required herein or by the DGCL, as long as any shares of Series B Preferred Stock are outstanding, the Company shall not, without the affirmative vote of the holders of a majority of the then outstanding shares of the Series B Preferred Stock: (i) alter or change adversely the powers, preferences or rights given to the Series B Preferred Stock or alter or amend the Series B Certificate of Designation, amend or repeal any provision of, or add any provision to, the Certificate of Incorporation or Bylaws (as amended, restated or amended and restated from time to time),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shall be by means of amendment to the Certificate of Incorporation or by merger, consolidation, recapitalization, reclassification, conversion or otherwise, (ii) issue further shares of Series B Preferred Stock or increase or decrease (other than by conversion) the number of authorized shares of Series B Preferred Stock, (iii) at any time prior to the Conversion Approval, (A) consummate</w:t>
      </w:r>
    </w:p>
    <w:p>
      <w:pPr>
        <w:spacing w:after="0" w:line="8" w:lineRule="exact"/>
        <w:rPr>
          <w:sz w:val="20"/>
          <w:szCs w:val="20"/>
          <w:color w:val="auto"/>
        </w:rPr>
      </w:pPr>
    </w:p>
    <w:p>
      <w:pPr>
        <w:jc w:val="both"/>
        <w:ind w:left="540" w:right="539" w:hanging="9"/>
        <w:spacing w:after="0" w:line="265" w:lineRule="auto"/>
        <w:tabs>
          <w:tab w:leader="none" w:pos="78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Fundamental Transaction (as defined in the Series B Certificate of Designation) or (II)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(B) increase the authorized number of directors constituting the Board or change the number of votes entitled to be cast by any director or directors on any matter, or</w:t>
      </w:r>
    </w:p>
    <w:p>
      <w:pPr>
        <w:spacing w:after="0" w:line="2" w:lineRule="exact"/>
        <w:rPr>
          <w:rFonts w:ascii="Times New Roman" w:cs="Times New Roman" w:eastAsia="Times New Roman" w:hAnsi="Times New Roman"/>
          <w:sz w:val="16"/>
          <w:szCs w:val="16"/>
          <w:color w:val="auto"/>
        </w:rPr>
      </w:pPr>
    </w:p>
    <w:p>
      <w:pPr>
        <w:jc w:val="both"/>
        <w:ind w:left="540" w:right="539" w:hanging="9"/>
        <w:spacing w:after="0" w:line="253" w:lineRule="auto"/>
        <w:tabs>
          <w:tab w:leader="none" w:pos="82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agreement with respect to any of the foregoing. Holders of shares of Common Stock acquired upon the conversion of shares of Series B Preferred Stock shall be entitled to the same voting rights as each other holder of Common Stock, except that such holders may not vote such shares for the Conversion Approval in accordance with Rule 5635 of the listing rules of Nasdaq.</w:t>
      </w:r>
    </w:p>
    <w:p>
      <w:pPr>
        <w:spacing w:after="0" w:line="73" w:lineRule="exact"/>
        <w:rPr>
          <w:sz w:val="20"/>
          <w:szCs w:val="20"/>
          <w:color w:val="auto"/>
        </w:rPr>
      </w:pPr>
    </w:p>
    <w:p>
      <w:pPr>
        <w:jc w:val="both"/>
        <w:ind w:left="540" w:right="539" w:firstLine="33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color w:val="auto"/>
        </w:rPr>
        <w:t>. Holders of Series B Preferred Stock shall be entitled to receive, and the Company shall pay,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dividends on shares of the Series B Preferred Stock (on an as-if-converted-to-Common-Stock basis, without regard to the Beneficial Ownership Limitation (as defined in the Series B Certificate of Designation))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Preferred Stock, and the Company shall pay no dividends (other than dividends payable in the form of Common Stock) on shares of the Common Stock unless it simultaneously complies with the previous sentence.</w:t>
      </w:r>
    </w:p>
    <w:p>
      <w:pPr>
        <w:spacing w:after="0" w:line="74"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Liquidation</w:t>
      </w:r>
      <w:r>
        <w:rPr>
          <w:rFonts w:ascii="Times New Roman" w:cs="Times New Roman" w:eastAsia="Times New Roman" w:hAnsi="Times New Roman"/>
          <w:sz w:val="17"/>
          <w:szCs w:val="17"/>
          <w:color w:val="auto"/>
        </w:rPr>
        <w:t>. The Series B Preferred Stock shall rank on parity with the Common Stock as to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upon liquidation, dissolution or winding up of the Company, whether voluntarily or involuntarily. Upon any liquidation, dissolution or winding-up of the Company, whether voluntary or involuntary (a “Liquidation”), each holder of Series B Preferred Stock shall be entitled to receive out of the assets, whether capital or surplus, of the Company the same amount that a holder of Common Stock would receive if the Series B Preferred Stock were fully converted (disregarding for such purpose any beneficial ownership limitations) to Common Stock which amounts shall be paid pari passu with all holders of Common Stock, plus an additional amount equal to any dividends declared on but unpaid to such shares. If, upon any such Liquidation, the assets of the Company shall be insufficient to pay the holders of shares of the Series B Preferred Stock the amount required under the preceding sentence, then all remaining assets of the Company shall be distributed ratably to the holders of Series B Preferred Stock and the holders of Common Stock in accordance with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1" w:name="page22"/>
    <w:bookmarkEnd w:id="21"/>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540" w:right="539"/>
        <w:spacing w:after="0" w:line="264" w:lineRule="auto"/>
        <w:rPr>
          <w:sz w:val="20"/>
          <w:szCs w:val="20"/>
          <w:color w:val="auto"/>
        </w:rPr>
      </w:pPr>
      <w:r>
        <w:rPr>
          <w:rFonts w:ascii="Times New Roman" w:cs="Times New Roman" w:eastAsia="Times New Roman" w:hAnsi="Times New Roman"/>
          <w:sz w:val="17"/>
          <w:szCs w:val="17"/>
          <w:color w:val="auto"/>
        </w:rPr>
        <w:t>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w:t>
      </w:r>
    </w:p>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Certain Effects of Authorized but Unissued Stock</w:t>
      </w:r>
    </w:p>
    <w:p>
      <w:pPr>
        <w:spacing w:after="0" w:line="114"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We have shares of Common Stock and preferred stock available for future issuance without stockholder approval, subject to any limitations imposed by the listing requirements of Nasdaq. We may issue these additional shares for a variety of corporate purposes, including future public or private offerings to raise additional capital or to facilitate corporate acquisitions or for payment as a dividend on our capital stock. The existence of unissued and unreserved preferred stock may enable the Board to issue shares of preferred stock with terms that could render more difficult or discourage a third-party attempt to obtain control of us by means of a merger, tender offer, proxy contest or otherwise, thereby protecting the continuity of our management. In addition, if we issue preferred stock, the issuance could adversely affect the voting power of holders of Common Stock and the likelihood that holders of Common Stock will receive dividend payments or payments upon liquidation.</w:t>
      </w:r>
    </w:p>
    <w:p>
      <w:pPr>
        <w:spacing w:after="0" w:line="3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Anti-Takeover Effects of Provisions of Our Charter Documents</w:t>
      </w:r>
    </w:p>
    <w:p>
      <w:pPr>
        <w:spacing w:after="0" w:line="114"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The Certificate of Incorporation provides for the Board to be divided into three classes serving staggered terms. Approximately one-third of the Board will be elected each year. The provision for a classified board could prevent a party who acquires control of a majority of the outstanding voting stock from obtaining control of the Board until the second annual stockholders meeting following the date the acquirer obtains the controlling stock interest. The classified board provision could discourage a potential acquirer from making a tender offer or otherwise attempting to obtain control of the Company and could increase the likelihood that incumbent directors will retain their positions. The Certificate of Incorporation provides that directors may be removed with or without cause only by the affirmative vote of the holders of at least 66 2/3% of the voting power of all outstanding stock entitled to vote in the election of directors, voting together as a single class.</w:t>
      </w:r>
    </w:p>
    <w:p>
      <w:pPr>
        <w:spacing w:after="0" w:line="81" w:lineRule="exact"/>
        <w:rPr>
          <w:sz w:val="20"/>
          <w:szCs w:val="20"/>
          <w:color w:val="auto"/>
        </w:rPr>
      </w:pPr>
    </w:p>
    <w:p>
      <w:pPr>
        <w:jc w:val="both"/>
        <w:ind w:left="540" w:right="539" w:firstLine="339"/>
        <w:spacing w:after="0" w:line="257" w:lineRule="auto"/>
        <w:rPr>
          <w:sz w:val="20"/>
          <w:szCs w:val="20"/>
          <w:color w:val="auto"/>
        </w:rPr>
      </w:pPr>
      <w:r>
        <w:rPr>
          <w:rFonts w:ascii="Times New Roman" w:cs="Times New Roman" w:eastAsia="Times New Roman" w:hAnsi="Times New Roman"/>
          <w:sz w:val="17"/>
          <w:szCs w:val="17"/>
          <w:color w:val="auto"/>
        </w:rPr>
        <w:t>The Certificate of Incorporation requires that certain amendments to the Certificate of Incorporation and amendments by the stockholders of the Bylaws require the affirmative vote of holders of at least 66 2/3% of the then outstanding stock entitled to vote generally in the election of directors, voting together as a single class. These provisions could discourage a potential acquirer from making a tender offer or otherwise attempting to obtain control of the Company and could delay changes in management.</w:t>
      </w:r>
    </w:p>
    <w:p>
      <w:pPr>
        <w:spacing w:after="0" w:line="74"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color w:val="auto"/>
        </w:rPr>
        <w:t>Our Bylaws establish an advance notice procedure for stockholder proposals to be brought before an annual stockholders meeting, including proposed nominations of persons for election to the Board. At an annual stockholders meeting, stockholders may only consider proposals or nominations specified in the notice of meeting or brought before the meeting by or at the direction of the Board. Stockholders may also consider a proposal or nomination by a person who was a stockholder of record on the record date for the meeting, who is entitled to vote at the meeting and who has given to the Secretary of the Company timely written notice, in proper form, of his or her intention to bring that business before the annual stockholders meeting. The Bylaws do not give the Board the power to approve or disapprove stockholder nominations of candidates or proposals regarding other business to be conducted at a special or annual meeting of the stockholders. However, our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84" w:lineRule="exact"/>
        <w:rPr>
          <w:sz w:val="20"/>
          <w:szCs w:val="20"/>
          <w:color w:val="auto"/>
        </w:rPr>
      </w:pPr>
    </w:p>
    <w:p>
      <w:pPr>
        <w:jc w:val="both"/>
        <w:ind w:left="540" w:right="539" w:firstLine="339"/>
        <w:spacing w:after="0" w:line="254" w:lineRule="auto"/>
        <w:rPr>
          <w:sz w:val="20"/>
          <w:szCs w:val="20"/>
          <w:color w:val="auto"/>
        </w:rPr>
      </w:pPr>
      <w:r>
        <w:rPr>
          <w:rFonts w:ascii="Times New Roman" w:cs="Times New Roman" w:eastAsia="Times New Roman" w:hAnsi="Times New Roman"/>
          <w:sz w:val="17"/>
          <w:szCs w:val="17"/>
          <w:color w:val="auto"/>
        </w:rPr>
        <w:t>The Bylaws provide that only the Board, the chairperson of the Board, the President or the Chief Executive Officer may call a special meeting of stockholders. Because our stockholders do not have the right to call a special meeting, a stockholder could not force stockholder consideration of a proposal over the opposition of the Board by calling a special meeting of stockholders prior to such time as a majority of the Board, the chairperson of the Board, the President or the Chief Executive Officer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stockholders meeting.</w:t>
      </w:r>
    </w:p>
    <w:p>
      <w:pPr>
        <w:spacing w:after="0" w:line="77" w:lineRule="exact"/>
        <w:rPr>
          <w:sz w:val="20"/>
          <w:szCs w:val="20"/>
          <w:color w:val="auto"/>
        </w:rPr>
      </w:pPr>
    </w:p>
    <w:p>
      <w:pPr>
        <w:jc w:val="both"/>
        <w:ind w:left="540" w:right="559" w:firstLine="339"/>
        <w:spacing w:after="0" w:line="264" w:lineRule="auto"/>
        <w:rPr>
          <w:sz w:val="20"/>
          <w:szCs w:val="20"/>
          <w:color w:val="auto"/>
        </w:rPr>
      </w:pPr>
      <w:r>
        <w:rPr>
          <w:rFonts w:ascii="Times New Roman" w:cs="Times New Roman" w:eastAsia="Times New Roman" w:hAnsi="Times New Roman"/>
          <w:sz w:val="17"/>
          <w:szCs w:val="17"/>
          <w:color w:val="auto"/>
        </w:rPr>
        <w:t>The Certificate of Incorporation does not allow stockholders to act by written consent without a meeting. Without the availability of stockholder’s actions by written consent, a holder controlling a majority of our capital stock would not be able to amend our Bylaws or remove directors without holding a stockholders’ meeting.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540" w:right="539" w:firstLine="339"/>
        <w:spacing w:after="0" w:line="251" w:lineRule="auto"/>
        <w:rPr>
          <w:sz w:val="20"/>
          <w:szCs w:val="20"/>
          <w:color w:val="auto"/>
        </w:rPr>
      </w:pPr>
      <w:r>
        <w:rPr>
          <w:rFonts w:ascii="Times New Roman" w:cs="Times New Roman" w:eastAsia="Times New Roman" w:hAnsi="Times New Roman"/>
          <w:sz w:val="17"/>
          <w:szCs w:val="17"/>
          <w:color w:val="auto"/>
        </w:rPr>
        <w:t>The Certificate of Incorporation and Bylaws provide that, unless we consent in writing to the selection of an alternative forum, the Court of Chancery (the “Court of Chancery”) of the State of Delaware (or, if the Court of Chancery does not have jurisdiction, the federal district court for the District of Delaware or other state courts of the State of Delaware) is the sole and exclusive forum for the following types of proceedings (i) any derivative action or proceeding brought on our behalf, (ii) any action asserting a claim of breach of a fiduciary duty owed by any of our current or former directors, officers, employees or stockholders to us or our stockholders, (iii) any action asserting a claim arising pursuant to any provision of the DGCL or as to which the DGCL confers jurisdiction on the Court of Chancery or (iv) any action asserting a claim arising pursuant to any provision of the Certificate of Incorporation or Bylaws (in each case, as they may be amended from time to time) or that is governed by the internal affairs doctrine. This choice of forum provision will not apply to suits brought to enforce a duty or liability created by the Securities Act, the Exchange Act or any other claim for which the federal courts have exclusive jurisdiction. Our Bylaws also provide that, unless we consent in writing to the selection of an alternative forum, federal district courts of the United States will be the exclusive forum for any complaint asserting a cause of action arising under the Securities Act. There is uncertainty as to whether a court would enforce such a provision. In addition, our Bylaws provide that any person or entity purchasing or otherwise acquiring or holding any interest in shares of our capital stock are deemed to have notice of and consented to the foregoing choice of forum provisions;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Anti-Takeover Effects of Provisions of Delaware Law</w:t>
      </w:r>
    </w:p>
    <w:p>
      <w:pPr>
        <w:spacing w:after="0" w:line="114"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We are subject to the provisions of Section 203 of the DGCL (“Section 203”). Under Section 203, we would generally be prohibited from engaging in any business combination with any interested stockholder for a period of three years following the time that this stockholder became an interested stockholder unless:</w:t>
      </w:r>
    </w:p>
    <w:p>
      <w:pPr>
        <w:spacing w:after="0" w:line="43" w:lineRule="exact"/>
        <w:rPr>
          <w:sz w:val="20"/>
          <w:szCs w:val="20"/>
          <w:color w:val="auto"/>
        </w:rPr>
      </w:pPr>
    </w:p>
    <w:p>
      <w:pPr>
        <w:ind w:left="1200" w:right="559" w:hanging="330"/>
        <w:spacing w:after="0" w:line="279" w:lineRule="auto"/>
        <w:tabs>
          <w:tab w:leader="none" w:pos="1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this time, the Board approved either the business combination or the transaction that resulted in the stockholder becoming an interested stockholder;</w:t>
      </w:r>
    </w:p>
    <w:p>
      <w:pPr>
        <w:spacing w:after="0" w:line="16" w:lineRule="exact"/>
        <w:rPr>
          <w:rFonts w:ascii="Times New Roman" w:cs="Times New Roman" w:eastAsia="Times New Roman" w:hAnsi="Times New Roman"/>
          <w:sz w:val="17"/>
          <w:szCs w:val="17"/>
          <w:color w:val="auto"/>
        </w:rPr>
      </w:pPr>
    </w:p>
    <w:p>
      <w:pPr>
        <w:jc w:val="both"/>
        <w:ind w:left="1200" w:right="539" w:hanging="330"/>
        <w:spacing w:after="0" w:line="257" w:lineRule="auto"/>
        <w:tabs>
          <w:tab w:leader="none" w:pos="1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35" w:lineRule="exact"/>
        <w:rPr>
          <w:rFonts w:ascii="Times New Roman" w:cs="Times New Roman" w:eastAsia="Times New Roman" w:hAnsi="Times New Roman"/>
          <w:sz w:val="17"/>
          <w:szCs w:val="17"/>
          <w:color w:val="auto"/>
        </w:rPr>
      </w:pPr>
    </w:p>
    <w:p>
      <w:pPr>
        <w:jc w:val="both"/>
        <w:ind w:left="1200" w:right="559" w:hanging="330"/>
        <w:spacing w:after="0" w:line="264" w:lineRule="auto"/>
        <w:tabs>
          <w:tab w:leader="none" w:pos="1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the business combination is approved by the Board and authorized at a special or annual stockholders meeting, and not by written consent, by the affirmative vote of at least 66 2/3% of the outstanding voting stock that is not owned by the interested stockholder.</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Under Section 203, a “business combination” includes:</w:t>
      </w:r>
    </w:p>
    <w:p>
      <w:pPr>
        <w:spacing w:after="0" w:line="72" w:lineRule="exact"/>
        <w:rPr>
          <w:sz w:val="20"/>
          <w:szCs w:val="20"/>
          <w:color w:val="auto"/>
        </w:rPr>
      </w:pPr>
    </w:p>
    <w:p>
      <w:pPr>
        <w:ind w:left="1200" w:hanging="330"/>
        <w:spacing w:after="0"/>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84"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corporation involving the interested stockholder;</w:t>
      </w:r>
    </w:p>
    <w:p>
      <w:pPr>
        <w:spacing w:after="0" w:line="16" w:lineRule="exact"/>
        <w:rPr>
          <w:rFonts w:ascii="Times New Roman" w:cs="Times New Roman" w:eastAsia="Times New Roman" w:hAnsi="Times New Roman"/>
          <w:sz w:val="17"/>
          <w:szCs w:val="17"/>
          <w:color w:val="auto"/>
        </w:rPr>
      </w:pPr>
    </w:p>
    <w:p>
      <w:pPr>
        <w:ind w:left="1200" w:right="539" w:hanging="330"/>
        <w:spacing w:after="0" w:line="279" w:lineRule="auto"/>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results in the issuance or transfer by the corporation of any stock of the corporation to the interested stockholder, subject to limited exceptions;</w:t>
      </w:r>
    </w:p>
    <w:p>
      <w:pPr>
        <w:spacing w:after="0" w:line="16"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29"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provided by or through the corporation.</w:t>
      </w:r>
    </w:p>
    <w:p>
      <w:pPr>
        <w:spacing w:after="0" w:line="55"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4" w:lineRule="exact"/>
        <w:rPr>
          <w:sz w:val="20"/>
          <w:szCs w:val="20"/>
          <w:color w:val="auto"/>
        </w:rPr>
      </w:pPr>
    </w:p>
    <w:p>
      <w:pPr>
        <w:jc w:val="both"/>
        <w:ind w:left="540" w:right="539" w:firstLine="339"/>
        <w:spacing w:after="0" w:line="279" w:lineRule="auto"/>
        <w:rPr>
          <w:sz w:val="20"/>
          <w:szCs w:val="20"/>
          <w:color w:val="auto"/>
        </w:rPr>
      </w:pPr>
      <w:r>
        <w:rPr>
          <w:rFonts w:ascii="Times New Roman" w:cs="Times New Roman" w:eastAsia="Times New Roman" w:hAnsi="Times New Roman"/>
          <w:sz w:val="17"/>
          <w:szCs w:val="17"/>
          <w:color w:val="auto"/>
        </w:rPr>
        <w:t>The transfer agent for our Common Stock is Equiniti Trust Company, LLC. Its address is 6201 15th Avenue, Brooklyn, NY 11219.</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Our Common Stock is listed on Nasdaq under the symbol “GYRE.”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3" w:name="page24"/>
    <w:bookmarkEnd w:id="23"/>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4" w:lineRule="exact"/>
        <w:rPr>
          <w:sz w:val="20"/>
          <w:szCs w:val="20"/>
          <w:color w:val="auto"/>
        </w:rPr>
      </w:pPr>
    </w:p>
    <w:p>
      <w:pPr>
        <w:jc w:val="both"/>
        <w:ind w:left="540" w:right="539" w:firstLine="339"/>
        <w:spacing w:after="0" w:line="257" w:lineRule="auto"/>
        <w:rPr>
          <w:sz w:val="20"/>
          <w:szCs w:val="20"/>
          <w:color w:val="auto"/>
        </w:rPr>
      </w:pPr>
      <w:r>
        <w:rPr>
          <w:rFonts w:ascii="Times New Roman" w:cs="Times New Roman" w:eastAsia="Times New Roman" w:hAnsi="Times New Roman"/>
          <w:sz w:val="17"/>
          <w:szCs w:val="17"/>
          <w:color w:val="auto"/>
        </w:rPr>
        <w:t>Each Selling Stockholder of the securities and any of their pledgees, assignees, donees, transferees or other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4" w:lineRule="exact"/>
        <w:rPr>
          <w:sz w:val="20"/>
          <w:szCs w:val="20"/>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securities as agent but may position and resell a portion of the block as principal to facilitate the transaction;</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through broker-dealers that agree with the Selling Stockholders to sell a specified number of such securities at a stipulated price per security;</w:t>
      </w:r>
    </w:p>
    <w:p>
      <w:pPr>
        <w:spacing w:after="0" w:line="54"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distribution to members, partners, stockholders or other equityholders of the Selling Stockholders;</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or distribution; or</w:t>
      </w:r>
    </w:p>
    <w:p>
      <w:pPr>
        <w:spacing w:after="0" w:line="110"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10" w:lineRule="exact"/>
        <w:rPr>
          <w:sz w:val="20"/>
          <w:szCs w:val="20"/>
          <w:color w:val="auto"/>
        </w:rPr>
      </w:pPr>
    </w:p>
    <w:p>
      <w:pPr>
        <w:jc w:val="both"/>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or any other exemption from registration under the Securities Act, if available, rather than under this prospectus.</w:t>
      </w:r>
    </w:p>
    <w:p>
      <w:pPr>
        <w:spacing w:after="0" w:line="55"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78"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76"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78"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4" w:name="page25"/>
    <w:bookmarkEnd w:id="24"/>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81" w:lineRule="exact"/>
        <w:rPr>
          <w:sz w:val="20"/>
          <w:szCs w:val="20"/>
          <w:color w:val="auto"/>
        </w:rPr>
      </w:pPr>
    </w:p>
    <w:p>
      <w:pPr>
        <w:jc w:val="both"/>
        <w:ind w:left="540" w:right="539"/>
        <w:spacing w:after="0" w:line="254" w:lineRule="auto"/>
        <w:rPr>
          <w:sz w:val="20"/>
          <w:szCs w:val="20"/>
          <w:color w:val="auto"/>
        </w:rPr>
      </w:pPr>
      <w:r>
        <w:rPr>
          <w:rFonts w:ascii="Times New Roman" w:cs="Times New Roman" w:eastAsia="Times New Roman" w:hAnsi="Times New Roman"/>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77" w:lineRule="exact"/>
        <w:rPr>
          <w:sz w:val="20"/>
          <w:szCs w:val="20"/>
          <w:color w:val="auto"/>
        </w:rPr>
      </w:pPr>
    </w:p>
    <w:p>
      <w:pPr>
        <w:jc w:val="both"/>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There can be no assurance that any Selling Stockholder will sell any or all of the shares of Common Stock registered pursuant to the registration statement, of which this prospectus forms a part.</w:t>
      </w:r>
    </w:p>
    <w:p>
      <w:pPr>
        <w:spacing w:after="0" w:line="55" w:lineRule="exact"/>
        <w:rPr>
          <w:sz w:val="20"/>
          <w:szCs w:val="20"/>
          <w:color w:val="auto"/>
        </w:rPr>
      </w:pPr>
    </w:p>
    <w:p>
      <w:pPr>
        <w:jc w:val="both"/>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Once sold under the registration statement, of which this prospectus forms a part, the shares of Common Stock will be freely tradable in the hands of persons other than our affiliates.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Selling Stockholders did not engage in any resales prior to the consummation of the Merger.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5" w:name="page26"/>
    <w:bookmarkEnd w:id="25"/>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4"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4"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Zhitong Certified Public Accountants LLP, independent registered public accountants, upon the authority of said firm as experts in accounting and auditing.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6" w:name="page27"/>
    <w:bookmarkEnd w:id="26"/>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4" w:lineRule="exact"/>
        <w:rPr>
          <w:sz w:val="20"/>
          <w:szCs w:val="20"/>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w:t>
      </w:r>
    </w:p>
    <w:p>
      <w:pPr>
        <w:spacing w:after="0" w:line="78" w:lineRule="exact"/>
        <w:rPr>
          <w:sz w:val="20"/>
          <w:szCs w:val="20"/>
          <w:color w:val="auto"/>
        </w:rPr>
      </w:pPr>
    </w:p>
    <w:p>
      <w:pPr>
        <w:jc w:val="both"/>
        <w:ind w:left="540" w:right="539" w:firstLine="339"/>
        <w:spacing w:after="0" w:line="257" w:lineRule="auto"/>
        <w:rPr>
          <w:sz w:val="20"/>
          <w:szCs w:val="20"/>
          <w:color w:val="auto"/>
        </w:rPr>
      </w:pPr>
      <w:r>
        <w:rPr>
          <w:rFonts w:ascii="Times New Roman" w:cs="Times New Roman" w:eastAsia="Times New Roman" w:hAnsi="Times New Roman"/>
          <w:sz w:val="17"/>
          <w:szCs w:val="17"/>
          <w:color w:val="auto"/>
        </w:rPr>
        <w:t xml:space="preserve">Our filings are available to the public on the Internet, through a database maintained by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We also maintain a website at</w:t>
      </w:r>
      <w:r>
        <w:rPr>
          <w:rFonts w:ascii="Times New Roman" w:cs="Times New Roman" w:eastAsia="Times New Roman" w:hAnsi="Times New Roman"/>
          <w:sz w:val="17"/>
          <w:szCs w:val="17"/>
          <w:i w:val="1"/>
          <w:iCs w:val="1"/>
          <w:color w:val="auto"/>
        </w:rPr>
        <w:t xml:space="preserve"> www.gyretx.com</w:t>
      </w:r>
      <w:r>
        <w:rPr>
          <w:rFonts w:ascii="Times New Roman" w:cs="Times New Roman" w:eastAsia="Times New Roman" w:hAnsi="Times New Roman"/>
          <w:sz w:val="17"/>
          <w:szCs w:val="17"/>
          <w:color w:val="auto"/>
        </w:rPr>
        <w:t>. We have included our website address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4" w:lineRule="exact"/>
        <w:rPr>
          <w:sz w:val="20"/>
          <w:szCs w:val="20"/>
          <w:color w:val="auto"/>
        </w:rPr>
      </w:pPr>
    </w:p>
    <w:p>
      <w:pPr>
        <w:jc w:val="both"/>
        <w:ind w:left="540" w:right="559" w:firstLine="339"/>
        <w:spacing w:after="0" w:line="264"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w:t>
      </w:r>
    </w:p>
    <w:p>
      <w:pPr>
        <w:spacing w:after="0" w:line="68"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color w:val="auto"/>
        </w:rPr>
        <w:t>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w:t>
      </w:r>
    </w:p>
    <w:p>
      <w:pPr>
        <w:spacing w:after="0" w:line="84" w:lineRule="exact"/>
        <w:rPr>
          <w:sz w:val="20"/>
          <w:szCs w:val="20"/>
          <w:color w:val="auto"/>
        </w:rPr>
      </w:pPr>
    </w:p>
    <w:p>
      <w:pPr>
        <w:jc w:val="both"/>
        <w:ind w:left="1200" w:right="539" w:hanging="330"/>
        <w:spacing w:after="0" w:line="264" w:lineRule="auto"/>
        <w:tabs>
          <w:tab w:leader="none" w:pos="1200" w:val="left"/>
        </w:tabs>
        <w:numPr>
          <w:ilvl w:val="0"/>
          <w:numId w:val="13"/>
        </w:numPr>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auto"/>
          </w:rPr>
          <w:t xml:space="preserve">our Annual Report on Form 10-K for the year ended December 31, 2025, filed with the SEC on </w:t>
        </w:r>
        <w:r>
          <w:rPr>
            <w:rFonts w:ascii="Times New Roman" w:cs="Times New Roman" w:eastAsia="Times New Roman" w:hAnsi="Times New Roman"/>
            <w:sz w:val="17"/>
            <w:szCs w:val="17"/>
            <w:u w:val="single" w:color="auto"/>
            <w:color w:val="0000EE"/>
          </w:rPr>
          <w:t>March 13,</w:t>
        </w:r>
      </w:hyperlink>
      <w:r>
        <w:rPr>
          <w:rFonts w:ascii="Times New Roman" w:cs="Times New Roman" w:eastAsia="Times New Roman" w:hAnsi="Times New Roman"/>
          <w:sz w:val="17"/>
          <w:szCs w:val="17"/>
          <w:color w:val="auto"/>
        </w:rPr>
        <w:t xml:space="preserve"> </w:t>
      </w:r>
      <w:hyperlink r:id="rId50">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(including the portions of our Definitive Proxy Statement on Schedule 14A filed on</w:t>
        </w:r>
        <w:r>
          <w:rPr>
            <w:rFonts w:ascii="Times New Roman" w:cs="Times New Roman" w:eastAsia="Times New Roman" w:hAnsi="Times New Roman"/>
            <w:sz w:val="17"/>
            <w:szCs w:val="17"/>
            <w:color w:val="0000EE"/>
          </w:rPr>
          <w:t xml:space="preserve"> </w:t>
        </w:r>
      </w:hyperlink>
      <w:hyperlink r:id="rId51">
        <w:r>
          <w:rPr>
            <w:rFonts w:ascii="Times New Roman" w:cs="Times New Roman" w:eastAsia="Times New Roman" w:hAnsi="Times New Roman"/>
            <w:sz w:val="17"/>
            <w:szCs w:val="17"/>
            <w:u w:val="single" w:color="auto"/>
            <w:color w:val="0000EE"/>
          </w:rPr>
          <w:t>April 27, 2026</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incorporated by reference therein);</w:t>
      </w:r>
    </w:p>
    <w:p>
      <w:pPr>
        <w:spacing w:after="0" w:line="68" w:lineRule="exact"/>
        <w:rPr>
          <w:rFonts w:ascii="Times New Roman" w:cs="Times New Roman" w:eastAsia="Times New Roman" w:hAnsi="Times New Roman"/>
          <w:sz w:val="17"/>
          <w:szCs w:val="17"/>
          <w:color w:val="0000EE"/>
        </w:rPr>
      </w:pPr>
    </w:p>
    <w:p>
      <w:pPr>
        <w:ind w:left="1200" w:right="559" w:hanging="330"/>
        <w:spacing w:after="0" w:line="279" w:lineRule="auto"/>
        <w:tabs>
          <w:tab w:leader="none" w:pos="1200" w:val="left"/>
        </w:tabs>
        <w:numPr>
          <w:ilvl w:val="0"/>
          <w:numId w:val="13"/>
        </w:numPr>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auto"/>
          </w:rPr>
          <w:t xml:space="preserve">our Quarterly Report on Form 10-Q for the quarter ended March 31, 2026, filed with the SEC on </w:t>
        </w:r>
        <w:r>
          <w:rPr>
            <w:rFonts w:ascii="Times New Roman" w:cs="Times New Roman" w:eastAsia="Times New Roman" w:hAnsi="Times New Roman"/>
            <w:sz w:val="17"/>
            <w:szCs w:val="17"/>
            <w:u w:val="single" w:color="auto"/>
            <w:color w:val="0000EE"/>
          </w:rPr>
          <w:t>May 8,</w:t>
        </w:r>
      </w:hyperlink>
      <w:r>
        <w:rPr>
          <w:rFonts w:ascii="Times New Roman" w:cs="Times New Roman" w:eastAsia="Times New Roman" w:hAnsi="Times New Roman"/>
          <w:sz w:val="17"/>
          <w:szCs w:val="17"/>
          <w:color w:val="auto"/>
        </w:rPr>
        <w:t xml:space="preserve"> </w:t>
      </w:r>
      <w:hyperlink r:id="rId52">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w:t>
        </w:r>
      </w:hyperlink>
    </w:p>
    <w:p>
      <w:pPr>
        <w:spacing w:after="0" w:line="54" w:lineRule="exact"/>
        <w:rPr>
          <w:rFonts w:ascii="Times New Roman" w:cs="Times New Roman" w:eastAsia="Times New Roman" w:hAnsi="Times New Roman"/>
          <w:sz w:val="17"/>
          <w:szCs w:val="17"/>
          <w:color w:val="0000EE"/>
        </w:rPr>
      </w:pPr>
    </w:p>
    <w:p>
      <w:pPr>
        <w:ind w:left="1200" w:right="559" w:hanging="330"/>
        <w:spacing w:after="0" w:line="279"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(except for information contained therein which is furnished rather than filed) filed on </w:t>
      </w:r>
      <w:hyperlink r:id="rId53">
        <w:r>
          <w:rPr>
            <w:rFonts w:ascii="Times New Roman" w:cs="Times New Roman" w:eastAsia="Times New Roman" w:hAnsi="Times New Roman"/>
            <w:sz w:val="17"/>
            <w:szCs w:val="17"/>
            <w:u w:val="single" w:color="auto"/>
            <w:color w:val="0000EE"/>
          </w:rPr>
          <w:t>March 2, 2026</w:t>
        </w:r>
      </w:hyperlink>
      <w:r>
        <w:rPr>
          <w:rFonts w:ascii="Times New Roman" w:cs="Times New Roman" w:eastAsia="Times New Roman" w:hAnsi="Times New Roman"/>
          <w:sz w:val="17"/>
          <w:szCs w:val="17"/>
          <w:color w:val="auto"/>
        </w:rPr>
        <w:t xml:space="preserve">, </w:t>
      </w:r>
      <w:hyperlink r:id="rId54">
        <w:r>
          <w:rPr>
            <w:rFonts w:ascii="Times New Roman" w:cs="Times New Roman" w:eastAsia="Times New Roman" w:hAnsi="Times New Roman"/>
            <w:sz w:val="17"/>
            <w:szCs w:val="17"/>
            <w:u w:val="single" w:color="auto"/>
            <w:color w:val="0000EE"/>
          </w:rPr>
          <w:t>March 23, 2026</w:t>
        </w:r>
      </w:hyperlink>
      <w:r>
        <w:rPr>
          <w:rFonts w:ascii="Times New Roman" w:cs="Times New Roman" w:eastAsia="Times New Roman" w:hAnsi="Times New Roman"/>
          <w:sz w:val="17"/>
          <w:szCs w:val="17"/>
          <w:color w:val="auto"/>
        </w:rPr>
        <w:t xml:space="preserve">, </w:t>
      </w:r>
      <w:hyperlink r:id="rId55">
        <w:r>
          <w:rPr>
            <w:rFonts w:ascii="Times New Roman" w:cs="Times New Roman" w:eastAsia="Times New Roman" w:hAnsi="Times New Roman"/>
            <w:sz w:val="17"/>
            <w:szCs w:val="17"/>
            <w:u w:val="single" w:color="auto"/>
            <w:color w:val="0000EE"/>
          </w:rPr>
          <w:t>April 17, 2026</w:t>
        </w:r>
      </w:hyperlink>
      <w:r>
        <w:rPr>
          <w:rFonts w:ascii="Times New Roman" w:cs="Times New Roman" w:eastAsia="Times New Roman" w:hAnsi="Times New Roman"/>
          <w:sz w:val="17"/>
          <w:szCs w:val="17"/>
          <w:color w:val="auto"/>
        </w:rPr>
        <w:t xml:space="preserve">, </w:t>
      </w:r>
      <w:hyperlink r:id="rId56">
        <w:r>
          <w:rPr>
            <w:rFonts w:ascii="Times New Roman" w:cs="Times New Roman" w:eastAsia="Times New Roman" w:hAnsi="Times New Roman"/>
            <w:sz w:val="17"/>
            <w:szCs w:val="17"/>
            <w:u w:val="single" w:color="auto"/>
            <w:color w:val="0000EE"/>
          </w:rPr>
          <w:t>May 4,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57">
        <w:r>
          <w:rPr>
            <w:rFonts w:ascii="Times New Roman" w:cs="Times New Roman" w:eastAsia="Times New Roman" w:hAnsi="Times New Roman"/>
            <w:sz w:val="17"/>
            <w:szCs w:val="17"/>
            <w:u w:val="single" w:color="auto"/>
            <w:color w:val="0000EE"/>
          </w:rPr>
          <w:t>June 16, 2026</w:t>
        </w:r>
      </w:hyperlink>
      <w:r>
        <w:rPr>
          <w:rFonts w:ascii="Times New Roman" w:cs="Times New Roman" w:eastAsia="Times New Roman" w:hAnsi="Times New Roman"/>
          <w:sz w:val="17"/>
          <w:szCs w:val="17"/>
          <w:color w:val="auto"/>
        </w:rPr>
        <w:t>; and</w:t>
      </w:r>
    </w:p>
    <w:p>
      <w:pPr>
        <w:spacing w:after="0" w:line="54" w:lineRule="exact"/>
        <w:rPr>
          <w:rFonts w:ascii="Times New Roman" w:cs="Times New Roman" w:eastAsia="Times New Roman" w:hAnsi="Times New Roman"/>
          <w:sz w:val="17"/>
          <w:szCs w:val="17"/>
          <w:color w:val="auto"/>
        </w:rPr>
      </w:pPr>
    </w:p>
    <w:p>
      <w:pPr>
        <w:jc w:val="both"/>
        <w:ind w:left="1200" w:right="539" w:hanging="330"/>
        <w:spacing w:after="0" w:line="264"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attached as </w:t>
      </w:r>
      <w:hyperlink r:id="rId58">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year ended December 31, 2025, filed with the SEC on March 13, 2026, including any amendment or report filed for the purpose of updating such description.</w:t>
      </w:r>
    </w:p>
    <w:p>
      <w:pPr>
        <w:spacing w:after="0" w:line="68" w:lineRule="exact"/>
        <w:rPr>
          <w:rFonts w:ascii="Times New Roman" w:cs="Times New Roman" w:eastAsia="Times New Roman" w:hAnsi="Times New Roman"/>
          <w:sz w:val="17"/>
          <w:szCs w:val="17"/>
          <w:color w:val="auto"/>
        </w:rPr>
      </w:pPr>
    </w:p>
    <w:p>
      <w:pPr>
        <w:jc w:val="both"/>
        <w:ind w:left="540" w:right="539" w:firstLine="339"/>
        <w:spacing w:after="0" w:line="255" w:lineRule="auto"/>
        <w:rPr>
          <w:sz w:val="20"/>
          <w:szCs w:val="20"/>
          <w:color w:val="auto"/>
        </w:rPr>
      </w:pPr>
      <w:r>
        <w:rPr>
          <w:rFonts w:ascii="Times New Roman" w:cs="Times New Roman" w:eastAsia="Times New Roman" w:hAnsi="Times New Roman"/>
          <w:sz w:val="17"/>
          <w:szCs w:val="17"/>
          <w:color w:val="auto"/>
        </w:rPr>
        <w:t>We also incorporate by reference into this prospectus all documents (other than current reports furnished under Item 2.02, Item 7.01 or Item 9.01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the offering. These documents include, without limitation, Annual Reports on Form 10-K, Quarterly Reports on Form 10-Q, Current Reports on Form 8-K, as well as proxy statements.</w:t>
      </w:r>
    </w:p>
    <w:p>
      <w:pPr>
        <w:spacing w:after="0" w:line="125" w:lineRule="exact"/>
        <w:rPr>
          <w:rFonts w:ascii="Times New Roman" w:cs="Times New Roman" w:eastAsia="Times New Roman" w:hAnsi="Times New Roman"/>
          <w:sz w:val="17"/>
          <w:szCs w:val="17"/>
          <w:color w:val="auto"/>
        </w:rPr>
      </w:pPr>
    </w:p>
    <w:p>
      <w:pPr>
        <w:jc w:val="both"/>
        <w:ind w:left="540" w:right="539" w:firstLine="339"/>
        <w:spacing w:after="0" w:line="279" w:lineRule="auto"/>
        <w:rPr>
          <w:sz w:val="20"/>
          <w:szCs w:val="20"/>
          <w:color w:val="auto"/>
        </w:rPr>
      </w:pPr>
      <w:r>
        <w:rPr>
          <w:rFonts w:ascii="Times New Roman" w:cs="Times New Roman" w:eastAsia="Times New Roman" w:hAnsi="Times New Roman"/>
          <w:sz w:val="17"/>
          <w:szCs w:val="17"/>
          <w:color w:val="auto"/>
        </w:rPr>
        <w:t>You may request a copy of these filings, at no cost, by contacting us, either orally or in writing, at the following:</w:t>
      </w:r>
    </w:p>
    <w:p>
      <w:pPr>
        <w:spacing w:after="0" w:line="93"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Gyre Therapeutics, Inc.</w:t>
      </w:r>
    </w:p>
    <w:p>
      <w:pPr>
        <w:spacing w:after="0" w:line="24"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12730 High Bluff Drive</w:t>
      </w:r>
    </w:p>
    <w:p>
      <w:pPr>
        <w:spacing w:after="0" w:line="8"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Suite 250</w:t>
      </w:r>
    </w:p>
    <w:p>
      <w:pPr>
        <w:spacing w:after="0" w:line="8"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San Diego, California 92130</w:t>
      </w:r>
    </w:p>
    <w:p>
      <w:pPr>
        <w:spacing w:after="0" w:line="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(858) 284-0115</w:t>
      </w:r>
    </w:p>
    <w:p>
      <w:pPr>
        <w:spacing w:after="0" w:line="91" w:lineRule="exact"/>
        <w:rPr>
          <w:rFonts w:ascii="Times New Roman" w:cs="Times New Roman" w:eastAsia="Times New Roman" w:hAnsi="Times New Roman"/>
          <w:sz w:val="17"/>
          <w:szCs w:val="17"/>
          <w:color w:val="auto"/>
        </w:rPr>
      </w:pPr>
    </w:p>
    <w:p>
      <w:pPr>
        <w:jc w:val="both"/>
        <w:ind w:left="540" w:right="539" w:firstLine="339"/>
        <w:spacing w:after="0" w:line="258"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www.gyretx.com</w:t>
      </w:r>
      <w:r>
        <w:rPr>
          <w:rFonts w:ascii="Times New Roman" w:cs="Times New Roman" w:eastAsia="Times New Roman" w:hAnsi="Times New Roman"/>
          <w:sz w:val="17"/>
          <w:szCs w:val="17"/>
          <w:color w:val="auto"/>
        </w:rPr>
        <w:t>.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74" w:lineRule="exact"/>
        <w:rPr>
          <w:rFonts w:ascii="Times New Roman" w:cs="Times New Roman" w:eastAsia="Times New Roman" w:hAnsi="Times New Roman"/>
          <w:sz w:val="17"/>
          <w:szCs w:val="17"/>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You may read and copy any materials we file with the SEC at the SEC’s website mentioned under the heading “Where You Can Find More Information.” The information on the SEC’s website is not incorporated by reference in this prospectus.</w:t>
      </w:r>
    </w:p>
    <w:p>
      <w:pPr>
        <w:spacing w:after="0" w:line="17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3" w:lineRule="exact"/>
        <w:rPr>
          <w:sz w:val="20"/>
          <w:szCs w:val="20"/>
          <w:color w:val="auto"/>
        </w:rPr>
      </w:pPr>
    </w:p>
    <w:p>
      <w:pPr>
        <w:ind w:left="54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114"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81280</wp:posOffset>
            </wp:positionV>
            <wp:extent cx="5045710" cy="201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45710" cy="20193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SEC registration fee</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Printing and engraving</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-114935</wp:posOffset>
            </wp:positionV>
            <wp:extent cx="504571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45710" cy="13716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Accounting fees and expenses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-114935</wp:posOffset>
            </wp:positionV>
            <wp:extent cx="504571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45710" cy="13716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29845</wp:posOffset>
            </wp:positionV>
            <wp:extent cx="5045710" cy="177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45710" cy="177800"/>
                    </a:xfrm>
                    <a:prstGeom prst="rect">
                      <a:avLst/>
                    </a:prstGeom>
                    <a:noFill/>
                  </pic:spPr>
                </pic:pic>
              </a:graphicData>
            </a:graphic>
          </wp:anchor>
        </w:drawing>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Total</w:t>
      </w:r>
    </w:p>
    <w:p>
      <w:pPr>
        <w:spacing w:after="0" w:line="259" w:lineRule="exact"/>
        <w:rPr>
          <w:sz w:val="20"/>
          <w:szCs w:val="20"/>
          <w:color w:val="auto"/>
        </w:rPr>
      </w:pPr>
    </w:p>
    <w:p>
      <w:pPr>
        <w:ind w:left="54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Indemnification of Officers and Directors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60" w:hanging="160"/>
        <w:spacing w:after="0"/>
        <w:tabs>
          <w:tab w:leader="none" w:pos="1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24,374​</w:t>
      </w:r>
    </w:p>
    <w:p>
      <w:pPr>
        <w:spacing w:after="0" w:line="23" w:lineRule="exact"/>
        <w:rPr>
          <w:rFonts w:ascii="Times New Roman" w:cs="Times New Roman" w:eastAsia="Times New Roman" w:hAnsi="Times New Roman"/>
          <w:sz w:val="17"/>
          <w:szCs w:val="17"/>
          <w:color w:val="auto"/>
        </w:rPr>
      </w:pP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17,500</w:t>
      </w:r>
    </w:p>
    <w:p>
      <w:pPr>
        <w:spacing w:after="0" w:line="21"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7"/>
          <w:szCs w:val="17"/>
          <w:color w:val="auto"/>
        </w:rPr>
        <w:t>250,000</w:t>
      </w:r>
    </w:p>
    <w:p>
      <w:pPr>
        <w:spacing w:after="0" w:line="21"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7"/>
          <w:szCs w:val="17"/>
          <w:color w:val="auto"/>
        </w:rPr>
        <w:t>20,000</w:t>
      </w:r>
    </w:p>
    <w:p>
      <w:pPr>
        <w:spacing w:after="0" w:line="21"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7"/>
          <w:szCs w:val="17"/>
          <w:color w:val="auto"/>
        </w:rPr>
        <w:t>5,000</w:t>
      </w:r>
    </w:p>
    <w:p>
      <w:pPr>
        <w:spacing w:after="0" w:line="21"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7"/>
          <w:szCs w:val="17"/>
          <w:color w:val="auto"/>
        </w:rPr>
        <w:t>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96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$371,874</w:t>
      </w:r>
    </w:p>
    <w:p>
      <w:pPr>
        <w:spacing w:after="0" w:line="568" w:lineRule="exact"/>
        <w:rPr>
          <w:sz w:val="20"/>
          <w:szCs w:val="20"/>
          <w:color w:val="auto"/>
        </w:rPr>
      </w:pPr>
    </w:p>
    <w:p>
      <w:pPr>
        <w:sectPr>
          <w:pgSz w:w="11900" w:h="16838" w:orient="portrait"/>
          <w:cols w:equalWidth="0" w:num="2">
            <w:col w:w="7120" w:space="720"/>
            <w:col w:w="1179"/>
          </w:cols>
          <w:pgMar w:left="1440" w:top="255" w:right="1440" w:bottom="1440" w:gutter="0" w:footer="0" w:header="0"/>
          <w:type w:val="continuous"/>
        </w:sect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The company is a Delaware corporation. 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79" w:lineRule="exact"/>
        <w:rPr>
          <w:sz w:val="20"/>
          <w:szCs w:val="20"/>
          <w:color w:val="auto"/>
        </w:rPr>
      </w:pPr>
    </w:p>
    <w:p>
      <w:pPr>
        <w:jc w:val="both"/>
        <w:ind w:left="540" w:right="539" w:firstLine="339"/>
        <w:spacing w:after="0" w:line="253" w:lineRule="auto"/>
        <w:rPr>
          <w:sz w:val="20"/>
          <w:szCs w:val="20"/>
          <w:color w:val="auto"/>
        </w:rPr>
      </w:pPr>
      <w:r>
        <w:rPr>
          <w:rFonts w:ascii="Times New Roman" w:cs="Times New Roman" w:eastAsia="Times New Roman" w:hAnsi="Times New Roman"/>
          <w:sz w:val="17"/>
          <w:szCs w:val="17"/>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Further subsections of DGCL Section 145 provide that:</w:t>
      </w:r>
    </w:p>
    <w:p>
      <w:pPr>
        <w:spacing w:after="0" w:line="110" w:lineRule="exact"/>
        <w:rPr>
          <w:sz w:val="20"/>
          <w:szCs w:val="20"/>
          <w:color w:val="auto"/>
        </w:rPr>
      </w:pPr>
    </w:p>
    <w:p>
      <w:pPr>
        <w:jc w:val="both"/>
        <w:ind w:left="1200" w:right="559" w:hanging="330"/>
        <w:spacing w:after="0" w:line="257" w:lineRule="auto"/>
        <w:tabs>
          <w:tab w:leader="none" w:pos="12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present or former director or officer of a corporation has been successful on the merits or otherwise in the defense of any action, suit or proceeding referred to in subsections (i) and (ii) of Section 145 or in the defense of any claim, issue or matter therein, such person shall be indemnified against expenses, including attorneys’ fees, actually and reasonably incurred by such person in connection therewith;</w:t>
      </w:r>
    </w:p>
    <w:p>
      <w:pPr>
        <w:spacing w:after="0" w:line="73" w:lineRule="exact"/>
        <w:rPr>
          <w:rFonts w:ascii="Times New Roman" w:cs="Times New Roman" w:eastAsia="Times New Roman" w:hAnsi="Times New Roman"/>
          <w:sz w:val="17"/>
          <w:szCs w:val="17"/>
          <w:color w:val="auto"/>
        </w:rPr>
      </w:pPr>
    </w:p>
    <w:p>
      <w:pPr>
        <w:jc w:val="both"/>
        <w:ind w:left="1200" w:right="559" w:hanging="330"/>
        <w:spacing w:after="0" w:line="259" w:lineRule="auto"/>
        <w:tabs>
          <w:tab w:leader="none" w:pos="12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and advancement of expenses provided for pursuant to Section 145 shall not be deemed exclusive of any other rights to which those seeking indemnification or advancement of expenses may be entitled under any bylaw, agreement, vote of shareholders or disinterested directors or otherwise; and</w:t>
      </w:r>
    </w:p>
    <w:p>
      <w:pPr>
        <w:spacing w:after="0" w:line="73" w:lineRule="exact"/>
        <w:rPr>
          <w:rFonts w:ascii="Times New Roman" w:cs="Times New Roman" w:eastAsia="Times New Roman" w:hAnsi="Times New Roman"/>
          <w:sz w:val="17"/>
          <w:szCs w:val="17"/>
          <w:color w:val="auto"/>
        </w:rPr>
      </w:pPr>
    </w:p>
    <w:p>
      <w:pPr>
        <w:jc w:val="both"/>
        <w:ind w:left="1200" w:right="559" w:hanging="330"/>
        <w:spacing w:after="0" w:line="255" w:lineRule="auto"/>
        <w:tabs>
          <w:tab w:leader="none" w:pos="12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type w:val="continuous"/>
        </w:sectPr>
      </w:pPr>
    </w:p>
    <w:bookmarkStart w:id="29" w:name="page30"/>
    <w:bookmarkEnd w:id="29"/>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540" w:right="539" w:firstLine="339"/>
        <w:spacing w:after="0" w:line="264" w:lineRule="auto"/>
        <w:rPr>
          <w:sz w:val="20"/>
          <w:szCs w:val="20"/>
          <w:color w:val="auto"/>
        </w:rPr>
      </w:pPr>
      <w:r>
        <w:rPr>
          <w:rFonts w:ascii="Times New Roman" w:cs="Times New Roman" w:eastAsia="Times New Roman" w:hAnsi="Times New Roman"/>
          <w:sz w:val="17"/>
          <w:szCs w:val="17"/>
          <w:color w:val="auto"/>
        </w:rPr>
        <w:t>As used in this Item 15, the term “proceeding” means any threatened, pending or completed action, suit or proceeding, whether or not by or in the right of the company, and whether civil, criminal, administrative, investigative or otherwise.</w:t>
      </w:r>
    </w:p>
    <w:p>
      <w:pPr>
        <w:spacing w:after="0" w:line="68"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color w:val="auto"/>
        </w:rPr>
        <w:t>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The Certificate of Incorporation and Bylaws provide, in effect, that, to the fullest extent and under the circumstances permitted by Section 145 of the DGCL, the company will indemnify any and all of its officers and directors. The company has entered into indemnification agreements with its officers and directors. The company may, in its discretion, similarly indemnify its employees and agents. The Certificate of Incorporation also relieves the company’s directors from monetary damages to the company or its shareholders for breach of such director’s fiduciary duty as a director to the fullest extent permitted by the DGCL. Under Section 102(b)(7) of the DGCL, a corporation may relieve its directors from personal liability to such corporation or its shareholders for monetary damages for any breach of their fiduciary duty as directors except (i) for a breach of the duty of loyalty, (ii) for failure to act in good faith, (iii) 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w:t>
      </w:r>
    </w:p>
    <w:p>
      <w:pPr>
        <w:spacing w:after="0" w:line="81"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The company has purchased insurance policies that,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a director or officer of the company.</w:t>
      </w:r>
    </w:p>
    <w:p>
      <w:pPr>
        <w:spacing w:after="0" w:line="73" w:lineRule="exact"/>
        <w:rPr>
          <w:sz w:val="20"/>
          <w:szCs w:val="20"/>
          <w:color w:val="auto"/>
        </w:rPr>
      </w:pPr>
    </w:p>
    <w:p>
      <w:pPr>
        <w:jc w:val="both"/>
        <w:ind w:left="540" w:right="539" w:firstLine="339"/>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0" w:name="page31"/>
    <w:bookmarkEnd w:id="30"/>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ind w:left="54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4" w:lineRule="exact"/>
        <w:rPr>
          <w:sz w:val="20"/>
          <w:szCs w:val="20"/>
          <w:color w:val="auto"/>
        </w:rPr>
      </w:pPr>
    </w:p>
    <w:p>
      <w:pPr>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A list of exhibits filed with this registration statement on Form S-3 is set forth on the Exhibit Index and is incorporated herein by reference.</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702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5"/>
                <w:szCs w:val="15"/>
                <w:color w:val="auto"/>
              </w:rPr>
            </w:pPr>
          </w:p>
        </w:tc>
        <w:tc>
          <w:tcPr>
            <w:tcW w:w="7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Agreement and Plan of Merger and Reorganization, dated March 2, 2026, by and among Gyre</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Therapeutics, Inc., Helix Merger Sub Corp. and Cullgen Inc. (incorporated by reference to Exhibit 2.1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 the Company’s Form 8-K filed on March 2, 2026).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Restated Certificate of Incorporation of Gyre Therapeutics, Inc. (incorporated by reference to</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3.1 to the Company’s Form 10-Q filed on November 13, 2024).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Amended and Restated Bylaws of Gyre Therapeutics, Inc. (incorporated by reference to Exhibit 3.3 to</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 Company’s Form 8-K filed on October 30, 2023).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3(a)</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Certificate of Designation of Preferences, Rights and Limitations of Series A Convertible Preferred</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Stock, filed with the Delaware Secretary of State on April 10, 2017 (incorporated by reference to</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3.1 to the Company’s Form 8-K filed on August 13, 2017).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3(b)</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Certificate of Elimination of Series A Preferred Stock, filed with the Delaware Secretary of State on</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March 25, 2024 (incorporated by reference to Exhibit 3.6(b) to the Company’s Form 10-K filed 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March 17, 2024).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4(a)</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Certificate of Designation of Preferences, Rights and Limitations of Series X Convertible Preferred</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Stock, filed with the Delaware Secretary of State on December 27, 2022 (incorporated by reference to</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3.1 to the Company’s Form 8-K filed on December 27, 2022).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4(b)</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Amendment to Certificate of Designation of Preferences, Rights and Limitations of Series X</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Convertible Preferred Stock, filed with the Delaware Secretary of State on October 30, 2023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(incorporated by reference to Exhibit 3.2 to the Company’s Form 8-K filed on October 30, 2023).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5(a)</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Certificate of Designation of Preferences, Rights and Limitations of Series Y Preferred Stock, filed</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with the Delaware Secretary of State on June 20, 2023, with respect to the Series Y Preferred Stock</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(incorporated by reference to Exhibit 3.1 to the Company’s Form 8-K filed on June 20, 2023).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5(b)</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Certificate of Elimination of Series Y Preferred Stock, filed with the Delaware Secretary of State on</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August 31, 2023 (incorporated by reference to Exhibit 3.1 to the Company’s Form 8-K filed 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August 31, 2023).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6</w:t>
            </w:r>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Form of Certificate of Designation of Preferences, Rights and Limitations of Series B Convertible</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Preferred Stock.</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Form of Warrant to Purchase Series X Convertible Preferred Stock (incorporated by reference to</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4.1 to the Company’s Form 8-K filed on October 30, 2023).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Form of Registration Rights Agreement, by and among Gyre Therapeutics, Inc. and certain investors</w:t>
            </w:r>
          </w:p>
        </w:tc>
        <w:tc>
          <w:tcPr>
            <w:tcW w:w="0" w:type="dxa"/>
            <w:vAlign w:val="bottom"/>
          </w:tcPr>
          <w:p>
            <w:pPr>
              <w:spacing w:after="0"/>
              <w:rPr>
                <w:sz w:val="1"/>
                <w:szCs w:val="1"/>
                <w:color w:val="auto"/>
              </w:rPr>
            </w:pPr>
          </w:p>
        </w:tc>
      </w:tr>
      <w:tr>
        <w:trPr>
          <w:trHeight w:val="20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signatory thereto (incorporated by reference to Exhibit 10.3 to the Company’s Form 8-K filed 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March 2, 2026).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420" w:type="dxa"/>
            <w:vAlign w:val="bottom"/>
            <w:shd w:val="clear" w:color="auto" w:fill="CCEEFF"/>
          </w:tcPr>
          <w:p>
            <w:pPr>
              <w:spacing w:after="0"/>
              <w:rPr>
                <w:sz w:val="15"/>
                <w:szCs w:val="15"/>
                <w:color w:val="auto"/>
              </w:rPr>
            </w:pP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Opinion of Gibson, Dunn &amp; Crutcher LLP.</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120650</wp:posOffset>
            </wp:positionV>
            <wp:extent cx="659828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1" w:name="page32"/>
    <w:bookmarkEnd w:id="31"/>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8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02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5"/>
                <w:szCs w:val="15"/>
                <w:color w:val="auto"/>
              </w:rPr>
            </w:pPr>
          </w:p>
        </w:tc>
        <w:tc>
          <w:tcPr>
            <w:tcW w:w="7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0" w:type="dxa"/>
            <w:vAlign w:val="bottom"/>
            <w:gridSpan w:val="2"/>
            <w:shd w:val="clear" w:color="auto" w:fill="CCEEFF"/>
          </w:tcPr>
          <w:p>
            <w:pPr>
              <w:jc w:val="right"/>
              <w:ind w:right="472"/>
              <w:spacing w:after="0" w:line="184" w:lineRule="exact"/>
              <w:rPr>
                <w:rFonts w:ascii="Times New Roman" w:cs="Times New Roman" w:eastAsia="Times New Roman" w:hAnsi="Times New Roman"/>
                <w:sz w:val="17"/>
                <w:szCs w:val="17"/>
                <w:color w:val="0000EE"/>
                <w:w w:val="80"/>
              </w:rPr>
            </w:pPr>
            <w:hyperlink r:id="rId79">
              <w:r>
                <w:rPr>
                  <w:rFonts w:ascii="Times New Roman" w:cs="Times New Roman" w:eastAsia="Times New Roman" w:hAnsi="Times New Roman"/>
                  <w:sz w:val="17"/>
                  <w:szCs w:val="17"/>
                  <w:color w:val="0000EE"/>
                  <w:w w:val="80"/>
                </w:rPr>
                <w:t>10.</w:t>
              </w:r>
              <w:r>
                <w:rPr>
                  <w:rFonts w:ascii="Times New Roman" w:cs="Times New Roman" w:eastAsia="Times New Roman" w:hAnsi="Times New Roman"/>
                  <w:sz w:val="17"/>
                  <w:szCs w:val="17"/>
                  <w:u w:val="single" w:color="auto"/>
                  <w:color w:val="0000EE"/>
                  <w:w w:val="80"/>
                </w:rPr>
                <w:t>1</w:t>
              </w:r>
            </w:hyperlink>
          </w:p>
        </w:tc>
        <w:tc>
          <w:tcPr>
            <w:tcW w:w="7120" w:type="dxa"/>
            <w:vAlign w:val="bottom"/>
            <w:gridSpan w:val="2"/>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Form of Company Support Agreement (incorporated by reference to Exhibit 10.2 to the Company’s</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Form 8-K filed on March 2, 2026).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2"/>
            <w:shd w:val="clear" w:color="auto" w:fill="CCEEFF"/>
          </w:tcPr>
          <w:p>
            <w:pPr>
              <w:jc w:val="right"/>
              <w:ind w:right="472"/>
              <w:spacing w:after="0" w:line="178" w:lineRule="exact"/>
              <w:rPr>
                <w:rFonts w:ascii="Times New Roman" w:cs="Times New Roman" w:eastAsia="Times New Roman" w:hAnsi="Times New Roman"/>
                <w:sz w:val="17"/>
                <w:szCs w:val="17"/>
                <w:color w:val="0000EE"/>
                <w:w w:val="80"/>
              </w:rPr>
            </w:pPr>
            <w:hyperlink r:id="rId80">
              <w:r>
                <w:rPr>
                  <w:rFonts w:ascii="Times New Roman" w:cs="Times New Roman" w:eastAsia="Times New Roman" w:hAnsi="Times New Roman"/>
                  <w:sz w:val="17"/>
                  <w:szCs w:val="17"/>
                  <w:color w:val="0000EE"/>
                  <w:w w:val="80"/>
                </w:rPr>
                <w:t>10.</w:t>
              </w:r>
              <w:r>
                <w:rPr>
                  <w:rFonts w:ascii="Times New Roman" w:cs="Times New Roman" w:eastAsia="Times New Roman" w:hAnsi="Times New Roman"/>
                  <w:sz w:val="17"/>
                  <w:szCs w:val="17"/>
                  <w:u w:val="single" w:color="auto"/>
                  <w:color w:val="0000EE"/>
                  <w:w w:val="80"/>
                </w:rPr>
                <w:t>2</w:t>
              </w:r>
            </w:hyperlink>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Form of Lock-Up Agreement (incorporated by reference to Exhibit 10.4 to the Company’s Form 8-K</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filed on March 2, 2026).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2"/>
            <w:shd w:val="clear" w:color="auto" w:fill="CCEEFF"/>
          </w:tcPr>
          <w:p>
            <w:pPr>
              <w:jc w:val="right"/>
              <w:ind w:right="472"/>
              <w:spacing w:after="0" w:line="178" w:lineRule="exact"/>
              <w:rPr>
                <w:sz w:val="20"/>
                <w:szCs w:val="20"/>
                <w:color w:val="auto"/>
              </w:rPr>
            </w:pPr>
            <w:r>
              <w:rPr>
                <w:rFonts w:ascii="Times New Roman" w:cs="Times New Roman" w:eastAsia="Times New Roman" w:hAnsi="Times New Roman"/>
                <w:sz w:val="17"/>
                <w:szCs w:val="17"/>
                <w:color w:val="0000EE"/>
                <w:w w:val="80"/>
              </w:rPr>
              <w:t>23.</w:t>
            </w:r>
            <w:r>
              <w:rPr>
                <w:rFonts w:ascii="Times New Roman" w:cs="Times New Roman" w:eastAsia="Times New Roman" w:hAnsi="Times New Roman"/>
                <w:sz w:val="17"/>
                <w:szCs w:val="17"/>
                <w:u w:val="single" w:color="auto"/>
                <w:color w:val="0000EE"/>
                <w:w w:val="80"/>
              </w:rPr>
              <w:t>1</w:t>
            </w: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Consent of Grant Thornton Zhitong Certified Public Accountants LLP, Independent Registered Public</w:t>
            </w:r>
          </w:p>
        </w:tc>
        <w:tc>
          <w:tcPr>
            <w:tcW w:w="0" w:type="dxa"/>
            <w:vAlign w:val="bottom"/>
          </w:tcPr>
          <w:p>
            <w:pPr>
              <w:spacing w:after="0"/>
              <w:rPr>
                <w:sz w:val="1"/>
                <w:szCs w:val="1"/>
                <w:color w:val="auto"/>
              </w:rPr>
            </w:pPr>
          </w:p>
        </w:tc>
      </w:tr>
      <w:tr>
        <w:trPr>
          <w:trHeight w:val="235"/>
        </w:trPr>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71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Accounting Firm.</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00" w:type="dxa"/>
            <w:vAlign w:val="bottom"/>
            <w:gridSpan w:val="2"/>
            <w:shd w:val="clear" w:color="auto" w:fill="CCEEFF"/>
          </w:tcPr>
          <w:p>
            <w:pPr>
              <w:jc w:val="right"/>
              <w:ind w:right="472"/>
              <w:spacing w:after="0" w:line="178" w:lineRule="exact"/>
              <w:rPr>
                <w:sz w:val="20"/>
                <w:szCs w:val="20"/>
                <w:color w:val="auto"/>
              </w:rPr>
            </w:pPr>
            <w:r>
              <w:rPr>
                <w:rFonts w:ascii="Times New Roman" w:cs="Times New Roman" w:eastAsia="Times New Roman" w:hAnsi="Times New Roman"/>
                <w:sz w:val="17"/>
                <w:szCs w:val="17"/>
                <w:color w:val="0000EE"/>
                <w:w w:val="80"/>
              </w:rPr>
              <w:t>23.</w:t>
            </w:r>
            <w:r>
              <w:rPr>
                <w:rFonts w:ascii="Times New Roman" w:cs="Times New Roman" w:eastAsia="Times New Roman" w:hAnsi="Times New Roman"/>
                <w:sz w:val="17"/>
                <w:szCs w:val="17"/>
                <w:u w:val="single" w:color="auto"/>
                <w:color w:val="0000EE"/>
                <w:w w:val="80"/>
              </w:rPr>
              <w:t>2</w:t>
            </w: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Consent of Gibson, Dunn &amp; Crutcher LLP (included in Exhibit 5.1).</w:t>
            </w:r>
          </w:p>
        </w:tc>
        <w:tc>
          <w:tcPr>
            <w:tcW w:w="0" w:type="dxa"/>
            <w:vAlign w:val="bottom"/>
          </w:tcPr>
          <w:p>
            <w:pPr>
              <w:spacing w:after="0"/>
              <w:rPr>
                <w:sz w:val="1"/>
                <w:szCs w:val="1"/>
                <w:color w:val="auto"/>
              </w:rPr>
            </w:pPr>
          </w:p>
        </w:tc>
      </w:tr>
      <w:tr>
        <w:trPr>
          <w:trHeight w:val="229"/>
        </w:trPr>
        <w:tc>
          <w:tcPr>
            <w:tcW w:w="20" w:type="dxa"/>
            <w:vAlign w:val="bottom"/>
            <w:tcBorders>
              <w:top w:val="single" w:sz="8" w:color="0000EE"/>
            </w:tcBorders>
            <w:vMerge w:val="restart"/>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712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00" w:type="dxa"/>
            <w:vAlign w:val="bottom"/>
            <w:gridSpan w:val="2"/>
            <w:shd w:val="clear" w:color="auto" w:fill="CCEEFF"/>
          </w:tcPr>
          <w:p>
            <w:pPr>
              <w:jc w:val="right"/>
              <w:ind w:right="472"/>
              <w:spacing w:after="0" w:line="178" w:lineRule="exact"/>
              <w:rPr>
                <w:sz w:val="20"/>
                <w:szCs w:val="20"/>
                <w:color w:val="auto"/>
              </w:rPr>
            </w:pPr>
            <w:r>
              <w:rPr>
                <w:rFonts w:ascii="Times New Roman" w:cs="Times New Roman" w:eastAsia="Times New Roman" w:hAnsi="Times New Roman"/>
                <w:sz w:val="17"/>
                <w:szCs w:val="17"/>
                <w:color w:val="0000EE"/>
                <w:w w:val="80"/>
              </w:rPr>
              <w:t>24.</w:t>
            </w:r>
            <w:r>
              <w:rPr>
                <w:rFonts w:ascii="Times New Roman" w:cs="Times New Roman" w:eastAsia="Times New Roman" w:hAnsi="Times New Roman"/>
                <w:sz w:val="17"/>
                <w:szCs w:val="17"/>
                <w:u w:val="single" w:color="auto"/>
                <w:color w:val="0000EE"/>
                <w:w w:val="80"/>
              </w:rPr>
              <w:t>1</w:t>
            </w:r>
          </w:p>
        </w:tc>
        <w:tc>
          <w:tcPr>
            <w:tcW w:w="712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Power of Attorney (included on the signature page to the registration statement).</w:t>
            </w: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440" w:hanging="909"/>
        <w:spacing w:after="0"/>
        <w:tabs>
          <w:tab w:leader="none" w:pos="1440" w:val="left"/>
        </w:tabs>
        <w:numPr>
          <w:ilvl w:val="0"/>
          <w:numId w:val="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-121285</wp:posOffset>
            </wp:positionV>
            <wp:extent cx="5045710"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5045710" cy="169545"/>
                    </a:xfrm>
                    <a:prstGeom prst="rect">
                      <a:avLst/>
                    </a:prstGeom>
                    <a:noFill/>
                  </pic:spPr>
                </pic:pic>
              </a:graphicData>
            </a:graphic>
          </wp:anchor>
        </w:drawing>
      </w:r>
    </w:p>
    <w:p>
      <w:pPr>
        <w:spacing w:after="0" w:line="239" w:lineRule="exact"/>
        <w:rPr>
          <w:sz w:val="20"/>
          <w:szCs w:val="20"/>
          <w:color w:val="auto"/>
        </w:rPr>
      </w:pPr>
    </w:p>
    <w:p>
      <w:pPr>
        <w:ind w:left="54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114" w:lineRule="exact"/>
        <w:rPr>
          <w:sz w:val="20"/>
          <w:szCs w:val="20"/>
          <w:color w:val="auto"/>
        </w:rPr>
      </w:pPr>
    </w:p>
    <w:p>
      <w:pPr>
        <w:ind w:left="860" w:hanging="329"/>
        <w:spacing w:after="0"/>
        <w:tabs>
          <w:tab w:leader="none" w:pos="8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0"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54" w:lineRule="exact"/>
        <w:rPr>
          <w:rFonts w:ascii="Times New Roman" w:cs="Times New Roman" w:eastAsia="Times New Roman" w:hAnsi="Times New Roman"/>
          <w:sz w:val="17"/>
          <w:szCs w:val="17"/>
          <w:color w:val="auto"/>
        </w:rPr>
      </w:pPr>
    </w:p>
    <w:p>
      <w:pPr>
        <w:ind w:left="1540" w:hanging="330"/>
        <w:spacing w:after="0"/>
        <w:tabs>
          <w:tab w:leader="none" w:pos="15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10" w:lineRule="exact"/>
        <w:rPr>
          <w:rFonts w:ascii="Times New Roman" w:cs="Times New Roman" w:eastAsia="Times New Roman" w:hAnsi="Times New Roman"/>
          <w:sz w:val="17"/>
          <w:szCs w:val="17"/>
          <w:color w:val="auto"/>
        </w:rPr>
      </w:pPr>
    </w:p>
    <w:p>
      <w:pPr>
        <w:jc w:val="both"/>
        <w:ind w:left="1540" w:right="559" w:hanging="330"/>
        <w:spacing w:after="0" w:line="253" w:lineRule="auto"/>
        <w:tabs>
          <w:tab w:leader="none" w:pos="15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w:t>
      </w:r>
    </w:p>
    <w:p>
      <w:pPr>
        <w:spacing w:after="0" w:line="80" w:lineRule="exact"/>
        <w:rPr>
          <w:rFonts w:ascii="Times New Roman" w:cs="Times New Roman" w:eastAsia="Times New Roman" w:hAnsi="Times New Roman"/>
          <w:sz w:val="17"/>
          <w:szCs w:val="17"/>
          <w:color w:val="auto"/>
        </w:rPr>
      </w:pPr>
    </w:p>
    <w:p>
      <w:pPr>
        <w:ind w:left="1540" w:right="559" w:hanging="330"/>
        <w:spacing w:after="0" w:line="279" w:lineRule="auto"/>
        <w:tabs>
          <w:tab w:leader="none" w:pos="15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jc w:val="both"/>
        <w:ind w:left="1220" w:right="539"/>
        <w:spacing w:after="0" w:line="258"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subparagraphs (i),(ii), and (iii) do not apply if the information required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jc w:val="both"/>
        <w:ind w:left="1200" w:right="559" w:hanging="330"/>
        <w:spacing w:after="0" w:line="264" w:lineRule="auto"/>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68" w:lineRule="exact"/>
        <w:rPr>
          <w:rFonts w:ascii="Times New Roman" w:cs="Times New Roman" w:eastAsia="Times New Roman" w:hAnsi="Times New Roman"/>
          <w:sz w:val="17"/>
          <w:szCs w:val="17"/>
          <w:color w:val="auto"/>
        </w:rPr>
      </w:pPr>
    </w:p>
    <w:p>
      <w:pPr>
        <w:ind w:left="1200" w:right="559" w:hanging="330"/>
        <w:spacing w:after="0" w:line="279" w:lineRule="auto"/>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4" w:lineRule="exact"/>
        <w:rPr>
          <w:rFonts w:ascii="Times New Roman" w:cs="Times New Roman" w:eastAsia="Times New Roman" w:hAnsi="Times New Roman"/>
          <w:sz w:val="17"/>
          <w:szCs w:val="17"/>
          <w:color w:val="auto"/>
        </w:rPr>
      </w:pPr>
    </w:p>
    <w:p>
      <w:pPr>
        <w:ind w:left="1200" w:hanging="330"/>
        <w:spacing w:after="0"/>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10" w:lineRule="exact"/>
        <w:rPr>
          <w:rFonts w:ascii="Times New Roman" w:cs="Times New Roman" w:eastAsia="Times New Roman" w:hAnsi="Times New Roman"/>
          <w:sz w:val="17"/>
          <w:szCs w:val="17"/>
          <w:color w:val="auto"/>
        </w:rPr>
      </w:pPr>
    </w:p>
    <w:p>
      <w:pPr>
        <w:jc w:val="both"/>
        <w:ind w:left="1540" w:right="559" w:hanging="330"/>
        <w:spacing w:after="0" w:line="264" w:lineRule="auto"/>
        <w:tabs>
          <w:tab w:leader="none" w:pos="15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8" w:lineRule="exact"/>
        <w:rPr>
          <w:rFonts w:ascii="Times New Roman" w:cs="Times New Roman" w:eastAsia="Times New Roman" w:hAnsi="Times New Roman"/>
          <w:sz w:val="17"/>
          <w:szCs w:val="17"/>
          <w:color w:val="auto"/>
        </w:rPr>
      </w:pPr>
    </w:p>
    <w:p>
      <w:pPr>
        <w:jc w:val="both"/>
        <w:ind w:left="1540" w:right="559" w:hanging="330"/>
        <w:spacing w:after="0" w:line="259" w:lineRule="auto"/>
        <w:tabs>
          <w:tab w:leader="none" w:pos="15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spacing w:after="0" w:line="1" w:lineRule="exact"/>
        <w:rPr>
          <w:rFonts w:ascii="Times New Roman" w:cs="Times New Roman" w:eastAsia="Times New Roman" w:hAnsi="Times New Roman"/>
          <w:sz w:val="17"/>
          <w:szCs w:val="17"/>
          <w:color w:val="auto"/>
        </w:rPr>
      </w:pPr>
    </w:p>
    <w:p>
      <w:pPr>
        <w:ind w:left="1540" w:right="55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shall 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2" w:name="page33"/>
    <w:bookmarkEnd w:id="32"/>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4" w:lineRule="exact"/>
        <w:rPr>
          <w:sz w:val="20"/>
          <w:szCs w:val="20"/>
          <w:color w:val="auto"/>
        </w:rPr>
      </w:pPr>
    </w:p>
    <w:p>
      <w:pPr>
        <w:jc w:val="both"/>
        <w:ind w:left="1540" w:right="539"/>
        <w:spacing w:after="0" w:line="252" w:lineRule="auto"/>
        <w:rPr>
          <w:sz w:val="20"/>
          <w:szCs w:val="20"/>
          <w:color w:val="auto"/>
        </w:rPr>
      </w:pPr>
      <w:r>
        <w:rPr>
          <w:rFonts w:ascii="Times New Roman" w:cs="Times New Roman" w:eastAsia="Times New Roman" w:hAnsi="Times New Roman"/>
          <w:sz w:val="17"/>
          <w:szCs w:val="17"/>
          <w:color w:val="auto"/>
        </w:rPr>
        <w:t xml:space="preserve">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sz w:val="20"/>
          <w:szCs w:val="20"/>
          <w:color w:val="auto"/>
        </w:rPr>
      </w:pPr>
    </w:p>
    <w:p>
      <w:pPr>
        <w:jc w:val="both"/>
        <w:ind w:left="860" w:right="539" w:hanging="329"/>
        <w:spacing w:after="0" w:line="255" w:lineRule="auto"/>
        <w:tabs>
          <w:tab w:leader="none" w:pos="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Times New Roman" w:cs="Times New Roman" w:eastAsia="Times New Roman" w:hAnsi="Times New Roman"/>
          <w:sz w:val="17"/>
          <w:szCs w:val="17"/>
          <w:color w:val="auto"/>
        </w:rPr>
      </w:pPr>
    </w:p>
    <w:p>
      <w:pPr>
        <w:jc w:val="both"/>
        <w:ind w:left="860" w:right="539" w:hanging="329"/>
        <w:spacing w:after="0" w:line="253" w:lineRule="auto"/>
        <w:tabs>
          <w:tab w:leader="none" w:pos="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128905</wp:posOffset>
            </wp:positionV>
            <wp:extent cx="659828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659828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3" w:name="page34"/>
    <w:bookmarkEnd w:id="33"/>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4" w:lineRule="exact"/>
        <w:rPr>
          <w:sz w:val="20"/>
          <w:szCs w:val="20"/>
          <w:color w:val="auto"/>
        </w:rPr>
      </w:pPr>
    </w:p>
    <w:p>
      <w:pPr>
        <w:jc w:val="both"/>
        <w:ind w:left="540" w:right="559" w:firstLine="339"/>
        <w:spacing w:after="0" w:line="25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June 22, 2026.</w:t>
      </w:r>
    </w:p>
    <w:p>
      <w:pPr>
        <w:spacing w:after="0" w:line="2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GYRE THERAPEUTICS, INC.</w:t>
      </w:r>
    </w:p>
    <w:p>
      <w:pPr>
        <w:spacing w:after="0" w:line="267"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7"/>
          <w:szCs w:val="17"/>
          <w:color w:val="auto"/>
        </w:rPr>
        <w:t>By:</w:t>
        <w:tab/>
        <w:t>/s/ Ying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31750</wp:posOffset>
            </wp:positionV>
            <wp:extent cx="2320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2320925" cy="8255"/>
                    </a:xfrm>
                    <a:prstGeom prst="rect">
                      <a:avLst/>
                    </a:prstGeom>
                    <a:noFill/>
                  </pic:spPr>
                </pic:pic>
              </a:graphicData>
            </a:graphic>
          </wp:anchor>
        </w:drawing>
      </w:r>
    </w:p>
    <w:p>
      <w:pPr>
        <w:spacing w:after="0" w:line="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Ying Luo</w:t>
      </w:r>
    </w:p>
    <w:p>
      <w:pPr>
        <w:spacing w:after="0" w:line="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0" w:lineRule="exact"/>
        <w:rPr>
          <w:sz w:val="20"/>
          <w:szCs w:val="20"/>
          <w:color w:val="auto"/>
        </w:rPr>
      </w:pPr>
    </w:p>
    <w:p>
      <w:pPr>
        <w:jc w:val="both"/>
        <w:ind w:left="540" w:right="539" w:firstLine="339"/>
        <w:spacing w:after="0" w:line="252"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each person whose signature appears below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constitutes and appoints Ying Luo and Thomas Eastling,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other documents in connection therewith, with the SEC, and generally to do all such things in their names and behalf in their capacities as officers and directors to enable Gyre Therapeutics,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spacing w:after="0" w:line="86" w:lineRule="exact"/>
        <w:rPr>
          <w:sz w:val="20"/>
          <w:szCs w:val="20"/>
          <w:color w:val="auto"/>
        </w:rPr>
      </w:pPr>
    </w:p>
    <w:p>
      <w:pPr>
        <w:jc w:val="both"/>
        <w:ind w:left="540" w:right="559" w:firstLine="339"/>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in the capacities and on the dates indicated.</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177"/>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spacing w:after="0"/>
              <w:rPr>
                <w:sz w:val="15"/>
                <w:szCs w:val="15"/>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93"/>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 Ying Luo</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Chief Executive Officer, President and 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Principal Executive Officer</w:t>
            </w:r>
            <w:r>
              <w:rPr>
                <w:rFonts w:ascii="Times New Roman" w:cs="Times New Roman" w:eastAsia="Times New Roman" w:hAnsi="Times New Roman"/>
                <w:sz w:val="17"/>
                <w:szCs w:val="17"/>
                <w:color w:val="auto"/>
                <w:w w:val="99"/>
              </w:rPr>
              <w:t>)</w:t>
            </w: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Ying Luo</w:t>
            </w:r>
          </w:p>
        </w:tc>
        <w:tc>
          <w:tcPr>
            <w:tcW w:w="20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Thomas Eastling</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Thomas Eastling</w:t>
            </w:r>
          </w:p>
        </w:tc>
        <w:tc>
          <w:tcPr>
            <w:tcW w:w="20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Chairman</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Ping Zhang</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Gordon G. Carmichael, Ph.D.</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Gordon G. Carmichael, Ph.D.</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David M. Epstein, Ph.D.</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M. Epstein, Ph.D.</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Rodney L. Nussbaum</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Rodney L. Nussbaum</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Renate Parry, Ph.D.</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Renate Parry, Ph.D.</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Dan Weng, M.D.</w:t>
            </w:r>
          </w:p>
        </w:tc>
        <w:tc>
          <w:tcPr>
            <w:tcW w:w="2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22, 2026</w:t>
            </w:r>
          </w:p>
        </w:tc>
        <w:tc>
          <w:tcPr>
            <w:tcW w:w="0" w:type="dxa"/>
            <w:vAlign w:val="bottom"/>
          </w:tcPr>
          <w:p>
            <w:pPr>
              <w:spacing w:after="0"/>
              <w:rPr>
                <w:sz w:val="1"/>
                <w:szCs w:val="1"/>
                <w:color w:val="auto"/>
              </w:rPr>
            </w:pPr>
          </w:p>
        </w:tc>
      </w:tr>
      <w:tr>
        <w:trPr>
          <w:trHeight w:val="219"/>
        </w:trPr>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Dan Weng, M.D.</w:t>
            </w: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II-6</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5"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GYRE THERAPEUTICS,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 OF PREFERENCES,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 AND LIMITATIONS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B CONVERTIBLE PREFERRED STOCK</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151 of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UNDERSIGNED DOES HEREBY CERTIFY, on behalf of Gyre Therapeutics,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that the following resolution was duly adopted by the Board of Directors of the Corporation (the “</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in accordance with the provisions of Section 151 of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at a meeting duly called and held on February 27, 2026, which resolution provides for the creation of a series of the Corporation’s Preferred Stock, par value $0.001 per share, which is designated as “Series B Convertible Preferred Stock,” with the preferences, rights and limitations set forth therein relating to dividends, conversion, redemption, dissolution and distribution of assets of the Corporation.</w:t>
      </w:r>
    </w:p>
    <w:p>
      <w:pPr>
        <w:spacing w:after="0" w:line="172" w:lineRule="exact"/>
        <w:rPr>
          <w:sz w:val="20"/>
          <w:szCs w:val="20"/>
          <w:color w:val="auto"/>
        </w:rPr>
      </w:pPr>
    </w:p>
    <w:p>
      <w:pPr>
        <w:jc w:val="both"/>
        <w:ind w:firstLine="611"/>
        <w:spacing w:after="0" w:line="26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Restated Certificate of Incorporation of the Corporation, as amended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provides for a class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stock known as Preferred Stock, consisting of 5,000,000 shares, $0.001 par value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issuable from time to time in one or more series.</w:t>
      </w:r>
    </w:p>
    <w:p>
      <w:pPr>
        <w:spacing w:after="0" w:line="163"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pursuant to authority conferred upon the Board of Directors by the Certificate of Incorporation, (i) a new series of Preferred Stock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be, and hereby is authorized by the Board of Directors, (ii) the Board of Directors hereby authorizes the issuance of 3,697,235 shares of “Series B Convertible Preferred Stock” pursuant to the terms of the Agreement and Plan of Merger and Reorganization, dated as of March 2, 2026, by and among the Corporation, Helix Merger Sub Corp., a Delaware corporation and wholly owned subsidiary of the Corporation, and Cullgen, Inc., a Delaware corporation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17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TERMS OF SERIES B CONVERTIBLE PREFERRED STOCK</w:t>
      </w:r>
    </w:p>
    <w:p>
      <w:pPr>
        <w:spacing w:after="0" w:line="216" w:lineRule="exact"/>
        <w:rPr>
          <w:sz w:val="20"/>
          <w:szCs w:val="20"/>
          <w:color w:val="auto"/>
        </w:rPr>
      </w:pPr>
    </w:p>
    <w:p>
      <w:pPr>
        <w:ind w:left="1960" w:hanging="736"/>
        <w:spacing w:after="0"/>
        <w:tabs>
          <w:tab w:leader="none" w:pos="1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hereof, the following terms shall have the following meanings:</w:t>
      </w:r>
    </w:p>
    <w:p>
      <w:pPr>
        <w:spacing w:after="0" w:line="208" w:lineRule="exact"/>
        <w:rPr>
          <w:sz w:val="20"/>
          <w:szCs w:val="20"/>
          <w:color w:val="auto"/>
        </w:rPr>
      </w:pPr>
    </w:p>
    <w:p>
      <w:pPr>
        <w:jc w:val="both"/>
        <w:ind w:firstLine="93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149" w:lineRule="exact"/>
        <w:rPr>
          <w:sz w:val="20"/>
          <w:szCs w:val="20"/>
          <w:color w:val="auto"/>
        </w:rPr>
      </w:pPr>
    </w:p>
    <w:p>
      <w:pPr>
        <w:jc w:val="both"/>
        <w:ind w:firstLine="929"/>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Buy-In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6.5.4</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92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Sale Price</w:t>
      </w:r>
      <w:r>
        <w:rPr>
          <w:rFonts w:ascii="Times New Roman" w:cs="Times New Roman" w:eastAsia="Times New Roman" w:hAnsi="Times New Roman"/>
          <w:sz w:val="17"/>
          <w:szCs w:val="17"/>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125095</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35" w:name="page36"/>
    <w:bookmarkEnd w:id="35"/>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2" w:lineRule="exact"/>
        <w:rPr>
          <w:sz w:val="20"/>
          <w:szCs w:val="20"/>
          <w:color w:val="auto"/>
        </w:rPr>
      </w:pPr>
    </w:p>
    <w:p>
      <w:pPr>
        <w:jc w:val="both"/>
        <w:ind w:firstLine="929"/>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Corporation’s common stock, par value $0.001 per share, and stock of any other class of securities into which such securities may hereafter be reclassified or changed.</w:t>
      </w:r>
    </w:p>
    <w:p>
      <w:pPr>
        <w:spacing w:after="0" w:line="149" w:lineRule="exact"/>
        <w:rPr>
          <w:sz w:val="20"/>
          <w:szCs w:val="20"/>
          <w:color w:val="auto"/>
        </w:rPr>
      </w:pPr>
    </w:p>
    <w:p>
      <w:pPr>
        <w:jc w:val="both"/>
        <w:ind w:firstLine="929"/>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Conversion Shares</w:t>
      </w:r>
      <w:r>
        <w:rPr>
          <w:rFonts w:ascii="Times New Roman" w:cs="Times New Roman" w:eastAsia="Times New Roman" w:hAnsi="Times New Roman"/>
          <w:sz w:val="17"/>
          <w:szCs w:val="17"/>
          <w:color w:val="auto"/>
        </w:rPr>
        <w:t>” means, collectively, the shares of Common Stock issuable upon conversion of the shares of Series B Preferred Stock in accordance with the terms hereof.</w:t>
      </w:r>
    </w:p>
    <w:p>
      <w:pPr>
        <w:spacing w:after="0" w:line="1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means the time at which the merger pursuant to the terms of the Merger Agreement becomes effective.</w:t>
      </w: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means a holder of shares of Series B Preferred Stock.</w:t>
      </w:r>
    </w:p>
    <w:p>
      <w:pPr>
        <w:spacing w:after="0" w:line="212" w:lineRule="exact"/>
        <w:rPr>
          <w:sz w:val="20"/>
          <w:szCs w:val="20"/>
          <w:color w:val="auto"/>
        </w:rPr>
      </w:pPr>
    </w:p>
    <w:p>
      <w:pPr>
        <w:jc w:val="both"/>
        <w:ind w:firstLine="929"/>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 day on which the principal Trading Market is open for business.</w:t>
      </w:r>
    </w:p>
    <w:p>
      <w:pPr>
        <w:spacing w:after="0" w:line="212" w:lineRule="exact"/>
        <w:rPr>
          <w:sz w:val="20"/>
          <w:szCs w:val="20"/>
          <w:color w:val="auto"/>
        </w:rPr>
      </w:pPr>
    </w:p>
    <w:p>
      <w:pPr>
        <w:jc w:val="both"/>
        <w:ind w:firstLine="92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7" w:lineRule="exact"/>
        <w:rPr>
          <w:sz w:val="20"/>
          <w:szCs w:val="20"/>
          <w:color w:val="auto"/>
        </w:rPr>
      </w:pPr>
    </w:p>
    <w:p>
      <w:pPr>
        <w:jc w:val="both"/>
        <w:ind w:firstLine="1224"/>
        <w:spacing w:after="0" w:line="264" w:lineRule="auto"/>
        <w:tabs>
          <w:tab w:leader="none" w:pos="196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Amount and Par Value</w:t>
      </w:r>
      <w:r>
        <w:rPr>
          <w:rFonts w:ascii="Times New Roman" w:cs="Times New Roman" w:eastAsia="Times New Roman" w:hAnsi="Times New Roman"/>
          <w:sz w:val="17"/>
          <w:szCs w:val="17"/>
          <w:color w:val="auto"/>
        </w:rPr>
        <w:t>. The series of Preferred Stock shall be designated as the Corporation’s Series B Convertible Preferred Stock (the “</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and the number of shares so designated shall be 3,697,235. Each share of Series B Preferred Stock shall have a par value of $0.001 per share.</w:t>
      </w:r>
    </w:p>
    <w:p>
      <w:pPr>
        <w:spacing w:after="0" w:line="169" w:lineRule="exact"/>
        <w:rPr>
          <w:rFonts w:ascii="Times New Roman" w:cs="Times New Roman" w:eastAsia="Times New Roman" w:hAnsi="Times New Roman"/>
          <w:sz w:val="17"/>
          <w:szCs w:val="17"/>
          <w:color w:val="auto"/>
        </w:rPr>
      </w:pPr>
    </w:p>
    <w:p>
      <w:pPr>
        <w:jc w:val="both"/>
        <w:ind w:firstLine="1224"/>
        <w:spacing w:after="0" w:line="255" w:lineRule="auto"/>
        <w:tabs>
          <w:tab w:leader="none" w:pos="196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Holders shall be entitled to receive, and the Corporation shall pay, dividends on shares of the Series B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Preferred Stock, and the Corporation shall pay no dividends (other than dividends payable in the form of Common Stock) on shares of the Common Stock unless it simultaneously complies with the previous sentence.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ind w:left="1960" w:hanging="736"/>
        <w:spacing w:after="0"/>
        <w:tabs>
          <w:tab w:leader="none" w:pos="1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1974"/>
        <w:spacing w:after="0" w:line="251" w:lineRule="auto"/>
        <w:rPr>
          <w:sz w:val="20"/>
          <w:szCs w:val="20"/>
          <w:color w:val="auto"/>
        </w:rPr>
      </w:pPr>
      <w:r>
        <w:rPr>
          <w:rFonts w:ascii="Times New Roman" w:cs="Times New Roman" w:eastAsia="Times New Roman" w:hAnsi="Times New Roman"/>
          <w:sz w:val="17"/>
          <w:szCs w:val="17"/>
          <w:color w:val="auto"/>
        </w:rPr>
        <w:t>4.1 On all matters submitted to a vote of the Corporation’s stockholders, the holders of shares of Series B Preferred Stock shall vote together with the holders of Common Stock as a single class and, in connection therewith, each holder of outstanding shares of Series B Preferred Stock shall be entitled to cast one vote for each share of Series B Preferred Stock held by such holder as of the record date for determining stockholders entitled to vote on such matter. In addition to any other vote required herein or by the DGCL, as long as any shares of Series B Preferred Stock are outstanding, the Corporation shall not, without the affirmative vote of the holders of a majority of the then outstanding shares of the Series B Preferred Stock: (i) alter or change adversely the powers, preferences or rights given to the Series B Preferred Stock or alter or amend this Certificate of Designation, amend or repeal any provision of, or add any provision to, the Certificate of Incorporation or Bylaws of the Corporation (as amended, restated or amended and restated from time to time),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shall be by means of amendment to the Certificate of Incorporation or by merger, consolidation, recapitalization, reclassification, conversion or otherwise, (ii) issue further shares of Series B Preferred Stock or increase or decrease (other than by conversion) the number of authorized shares of Series B Preferred Stock, (iii) at any time prior to the approval Stockholder Approval,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authorized number of directors constituting the Board of Directors of the Corporation or change the number of votes entitled to be cast by any director or directors on any matter, or (C) enter into any agreement with respect to any of the foregoing. Holders of shares of Common Stock acquired upon the conversion of shares of Series B Preferred Stock shall be entitled to the same voting rights as each other holder of Common Stock, except that such holders may not vote such shares upon the proposal for Stockholder Approval in accordance with Rule 5635 of the listing rules of The Nasdaq Stock Market LLC (“</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1987"/>
        <w:spacing w:after="0" w:line="264" w:lineRule="auto"/>
        <w:rPr>
          <w:sz w:val="20"/>
          <w:szCs w:val="20"/>
          <w:color w:val="auto"/>
        </w:rPr>
      </w:pPr>
      <w:r>
        <w:rPr>
          <w:rFonts w:ascii="Times New Roman" w:cs="Times New Roman" w:eastAsia="Times New Roman" w:hAnsi="Times New Roman"/>
          <w:sz w:val="17"/>
          <w:szCs w:val="17"/>
          <w:color w:val="auto"/>
        </w:rPr>
        <w:t xml:space="preserve">4.2 Any vote required or permitted under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may be taken at a meeting of the Holders or the Board of Directors, or through the execution of an action by written consent in lieu of such meeting, provided that the consent is executed by Holders representing a majority of the outstanding shares of Series B Preferred Stock.</w:t>
      </w:r>
    </w:p>
    <w:p>
      <w:pPr>
        <w:spacing w:after="0" w:line="170" w:lineRule="exact"/>
        <w:rPr>
          <w:sz w:val="20"/>
          <w:szCs w:val="20"/>
          <w:color w:val="auto"/>
        </w:rPr>
      </w:pPr>
    </w:p>
    <w:p>
      <w:pPr>
        <w:ind w:left="1960" w:hanging="736"/>
        <w:spacing w:after="0"/>
        <w:tabs>
          <w:tab w:leader="none" w:pos="1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 Liquidation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1999"/>
        <w:spacing w:after="0" w:line="279" w:lineRule="auto"/>
        <w:rPr>
          <w:sz w:val="20"/>
          <w:szCs w:val="20"/>
          <w:color w:val="auto"/>
        </w:rPr>
      </w:pPr>
      <w:r>
        <w:rPr>
          <w:rFonts w:ascii="Times New Roman" w:cs="Times New Roman" w:eastAsia="Times New Roman" w:hAnsi="Times New Roman"/>
          <w:sz w:val="17"/>
          <w:szCs w:val="17"/>
          <w:color w:val="auto"/>
        </w:rPr>
        <w:t>5.1 The Series B Preferred Stock shall rank on parity with the Common Stock as to distributions of assets upon liquidation, dissolution or winding up of the Corporation, whether voluntarily or involuntarily.</w:t>
      </w:r>
    </w:p>
    <w:p>
      <w:pPr>
        <w:spacing w:after="0" w:line="153" w:lineRule="exact"/>
        <w:rPr>
          <w:sz w:val="20"/>
          <w:szCs w:val="20"/>
          <w:color w:val="auto"/>
        </w:rPr>
      </w:pPr>
    </w:p>
    <w:p>
      <w:pPr>
        <w:jc w:val="both"/>
        <w:ind w:firstLine="1999"/>
        <w:spacing w:after="0" w:line="254" w:lineRule="auto"/>
        <w:rPr>
          <w:sz w:val="20"/>
          <w:szCs w:val="20"/>
          <w:color w:val="auto"/>
        </w:rPr>
      </w:pPr>
      <w:r>
        <w:rPr>
          <w:rFonts w:ascii="Times New Roman" w:cs="Times New Roman" w:eastAsia="Times New Roman" w:hAnsi="Times New Roman"/>
          <w:sz w:val="17"/>
          <w:szCs w:val="17"/>
          <w:color w:val="auto"/>
        </w:rPr>
        <w:t>5.2 Upon any liquidation, dissolution or winding-up of the Corporation, whether voluntary or involuntary (a “</w:t>
      </w:r>
      <w:r>
        <w:rPr>
          <w:rFonts w:ascii="Times New Roman" w:cs="Times New Roman" w:eastAsia="Times New Roman" w:hAnsi="Times New Roman"/>
          <w:sz w:val="17"/>
          <w:szCs w:val="17"/>
          <w:b w:val="1"/>
          <w:bCs w:val="1"/>
          <w:i w:val="1"/>
          <w:iCs w:val="1"/>
          <w:color w:val="auto"/>
        </w:rPr>
        <w:t>Liquidation</w:t>
      </w:r>
      <w:r>
        <w:rPr>
          <w:rFonts w:ascii="Times New Roman" w:cs="Times New Roman" w:eastAsia="Times New Roman" w:hAnsi="Times New Roman"/>
          <w:sz w:val="17"/>
          <w:szCs w:val="17"/>
          <w:color w:val="auto"/>
        </w:rPr>
        <w:t xml:space="preserve">”), each Holder shall be entitled to receive out of the assets, whether capital or surplus, of the Corporation the same amount that a holder of Common Stock would receive if the Series B Preferred Stock were fully converted (disregarding for such purpose any Beneficial Ownership Limitations) to Common Stock which amounts shall be paid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B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ind w:left="1960" w:hanging="736"/>
        <w:spacing w:after="0"/>
        <w:tabs>
          <w:tab w:leader="none" w:pos="1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2088"/>
        <w:spacing w:after="0" w:line="25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Prohibition on Conversion</w:t>
      </w:r>
      <w:r>
        <w:rPr>
          <w:rFonts w:ascii="Times New Roman" w:cs="Times New Roman" w:eastAsia="Times New Roman" w:hAnsi="Times New Roman"/>
          <w:sz w:val="17"/>
          <w:szCs w:val="17"/>
          <w:color w:val="auto"/>
        </w:rPr>
        <w:t xml:space="preserve">. Notwithstanding anything herein to the contrary, the Corporation shall not effect any conversion of any share of Series B Preferred Stock, and a Holder shall not have the right to convert any portion of the Series B Preferred Stock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6.2 or otherwise, unless such Holder has, prior to any such conversion of</w:t>
      </w:r>
      <w:r>
        <w:rPr>
          <w:rFonts w:ascii="Times New Roman" w:cs="Times New Roman" w:eastAsia="Times New Roman" w:hAnsi="Times New Roman"/>
          <w:sz w:val="17"/>
          <w:szCs w:val="17"/>
          <w:color w:val="auto"/>
        </w:rPr>
        <w:t xml:space="preserve"> Series B Preferred Stock, executed and delivered to the Corporation a lock up agreement, substantially in the form set forth as an exhibit to the Merger Agreement. Any purported conversion in violation of this Section 6.1 shall be null and void and of no force or effect whatsoever.</w:t>
      </w:r>
    </w:p>
    <w:p>
      <w:pPr>
        <w:spacing w:after="0" w:line="176" w:lineRule="exact"/>
        <w:rPr>
          <w:sz w:val="20"/>
          <w:szCs w:val="20"/>
          <w:color w:val="auto"/>
        </w:rPr>
      </w:pPr>
    </w:p>
    <w:p>
      <w:pPr>
        <w:jc w:val="both"/>
        <w:ind w:firstLine="2012"/>
        <w:spacing w:after="0" w:line="252"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Conversion at Option of Holder</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6.5.3</w:t>
      </w:r>
      <w:r>
        <w:rPr>
          <w:rFonts w:ascii="Times New Roman" w:cs="Times New Roman" w:eastAsia="Times New Roman" w:hAnsi="Times New Roman"/>
          <w:sz w:val="17"/>
          <w:szCs w:val="17"/>
          <w:color w:val="auto"/>
        </w:rPr>
        <w:t>, each share of Series B Preferred Stock then outstanding shall be convertible, at any time and from time to time following 5:00 p.m. Eastern time on the third Business Day after the date that the Corporation’s stockholders approve the conversion of the Series B Preferred Stock into shares of Common Stock in accordance with Nasdaq listing rules, as set forth in Section 4.1 of the Merger Agreement (the “</w:t>
      </w:r>
      <w:r>
        <w:rPr>
          <w:rFonts w:ascii="Times New Roman" w:cs="Times New Roman" w:eastAsia="Times New Roman" w:hAnsi="Times New Roman"/>
          <w:sz w:val="17"/>
          <w:szCs w:val="17"/>
          <w:b w:val="1"/>
          <w:bCs w:val="1"/>
          <w:i w:val="1"/>
          <w:iCs w:val="1"/>
          <w:color w:val="auto"/>
        </w:rPr>
        <w:t>Stockholder Approval</w:t>
      </w:r>
      <w:r>
        <w:rPr>
          <w:rFonts w:ascii="Times New Roman" w:cs="Times New Roman" w:eastAsia="Times New Roman" w:hAnsi="Times New Roman"/>
          <w:sz w:val="17"/>
          <w:szCs w:val="17"/>
          <w:color w:val="auto"/>
        </w:rPr>
        <w:t>”), at the option of the Holder thereof, into a number of shares of Common Stock equal to the Conversion Ratio, subject to the Beneficial Ownership Limitation (as defined below) (each, an “</w:t>
      </w:r>
      <w:r>
        <w:rPr>
          <w:rFonts w:ascii="Times New Roman" w:cs="Times New Roman" w:eastAsia="Times New Roman" w:hAnsi="Times New Roman"/>
          <w:sz w:val="17"/>
          <w:szCs w:val="17"/>
          <w:b w:val="1"/>
          <w:bCs w:val="1"/>
          <w:i w:val="1"/>
          <w:iCs w:val="1"/>
          <w:color w:val="auto"/>
        </w:rPr>
        <w:t>Optional Conversion</w:t>
      </w:r>
      <w:r>
        <w:rPr>
          <w:rFonts w:ascii="Times New Roman" w:cs="Times New Roman" w:eastAsia="Times New Roman" w:hAnsi="Times New Roman"/>
          <w:sz w:val="17"/>
          <w:szCs w:val="17"/>
          <w:color w:val="auto"/>
        </w:rPr>
        <w:t xml:space="preserve">”). Holders shall effect conversions by providing the Corporation with the form of conversion notice attached hereto as </w:t>
      </w:r>
      <w:r>
        <w:rPr>
          <w:rFonts w:ascii="Times New Roman" w:cs="Times New Roman" w:eastAsia="Times New Roman" w:hAnsi="Times New Roman"/>
          <w:sz w:val="17"/>
          <w:szCs w:val="17"/>
          <w:b w:val="1"/>
          <w:bCs w:val="1"/>
          <w:u w:val="single" w:color="auto"/>
          <w:color w:val="auto"/>
        </w:rPr>
        <w:t>Annex A</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i w:val="1"/>
          <w:iCs w:val="1"/>
          <w:color w:val="auto"/>
        </w:rPr>
        <w:t>Notice of Conversion</w:t>
      </w:r>
      <w:r>
        <w:rPr>
          <w:rFonts w:ascii="Times New Roman" w:cs="Times New Roman" w:eastAsia="Times New Roman" w:hAnsi="Times New Roman"/>
          <w:sz w:val="17"/>
          <w:szCs w:val="17"/>
          <w:color w:val="auto"/>
        </w:rPr>
        <w:t>”), duly completed and executed. Provided the Corporation’s transfer agent is participating in the Depository Trust Company (“</w:t>
      </w:r>
      <w:r>
        <w:rPr>
          <w:rFonts w:ascii="Times New Roman" w:cs="Times New Roman" w:eastAsia="Times New Roman" w:hAnsi="Times New Roman"/>
          <w:sz w:val="17"/>
          <w:szCs w:val="17"/>
          <w:b w:val="1"/>
          <w:bCs w:val="1"/>
          <w:i w:val="1"/>
          <w:iCs w:val="1"/>
          <w:color w:val="auto"/>
        </w:rPr>
        <w:t>DTC</w:t>
      </w:r>
      <w:r>
        <w:rPr>
          <w:rFonts w:ascii="Times New Roman" w:cs="Times New Roman" w:eastAsia="Times New Roman" w:hAnsi="Times New Roman"/>
          <w:sz w:val="17"/>
          <w:szCs w:val="17"/>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7"/>
          <w:szCs w:val="17"/>
          <w:b w:val="1"/>
          <w:bCs w:val="1"/>
          <w:i w:val="1"/>
          <w:iCs w:val="1"/>
          <w:color w:val="auto"/>
        </w:rPr>
        <w:t>DWAC Delivery</w:t>
      </w:r>
      <w:r>
        <w:rPr>
          <w:rFonts w:ascii="Times New Roman" w:cs="Times New Roman" w:eastAsia="Times New Roman" w:hAnsi="Times New Roman"/>
          <w:sz w:val="17"/>
          <w:szCs w:val="17"/>
          <w:color w:val="auto"/>
        </w:rPr>
        <w:t>”). The date on which an Optional Conversion shall be deemed effective (the “</w:t>
      </w:r>
      <w:r>
        <w:rPr>
          <w:rFonts w:ascii="Times New Roman" w:cs="Times New Roman" w:eastAsia="Times New Roman" w:hAnsi="Times New Roman"/>
          <w:sz w:val="17"/>
          <w:szCs w:val="17"/>
          <w:b w:val="1"/>
          <w:bCs w:val="1"/>
          <w:i w:val="1"/>
          <w:iCs w:val="1"/>
          <w:color w:val="auto"/>
        </w:rPr>
        <w:t>Conversion Date</w:t>
      </w:r>
      <w:r>
        <w:rPr>
          <w:rFonts w:ascii="Times New Roman" w:cs="Times New Roman" w:eastAsia="Times New Roman" w:hAnsi="Times New Roman"/>
          <w:sz w:val="17"/>
          <w:szCs w:val="17"/>
          <w:color w:val="auto"/>
        </w:rPr>
        <w:t>”) shall be the Trading Day that the Notice of Conversion, completed and executed, is sent via email to, and received during regular business hours by, the Corporation; provided, that the original certificate(s) (if any) representing such shares of Series B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Preferred Stock being converted, duly endorsed, and the accompanying Notice of Conversion, are received by the Corporation. The calculations set forth in the Notice of Conversion shall control in the absence of manifest or mathematical error.</w:t>
      </w:r>
    </w:p>
    <w:p>
      <w:pPr>
        <w:spacing w:after="0" w:line="179" w:lineRule="exact"/>
        <w:rPr>
          <w:sz w:val="20"/>
          <w:szCs w:val="20"/>
          <w:color w:val="auto"/>
        </w:rPr>
      </w:pPr>
    </w:p>
    <w:p>
      <w:pPr>
        <w:jc w:val="both"/>
        <w:ind w:firstLine="1974"/>
        <w:spacing w:after="0" w:line="267"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Conversion Ratio</w:t>
      </w:r>
      <w:r>
        <w:rPr>
          <w:rFonts w:ascii="Times New Roman" w:cs="Times New Roman" w:eastAsia="Times New Roman" w:hAnsi="Times New Roman"/>
          <w:sz w:val="17"/>
          <w:szCs w:val="17"/>
          <w:color w:val="auto"/>
        </w:rPr>
        <w:t>” for each share of Series B Preferred Stock shall be five (5) shares of Common Stock issuable upon the conversion (the “</w:t>
      </w: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of each share of Series B Preferred Stock (corresponding to a ratio of 5:1), subject to adjustment as provided herein.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jc w:val="both"/>
        <w:ind w:firstLine="2037"/>
        <w:spacing w:after="0" w:line="250"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xml:space="preserve">. Notwithstanding anything herein to the contrary, and except as set forth herein, the Corporation shall not effect any conversion of any share of Series B Preferred Stock, and a Holder shall not have the right to convert any portion of the Series B Preferred Stock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to the extent that, after giving effect to such attempted conversion set forth on an applicable Notice of Conversion (as defined in the Certificate of Designation)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cs="Times New Roman" w:eastAsia="Times New Roman" w:hAnsi="Times New Roman"/>
          <w:sz w:val="17"/>
          <w:szCs w:val="17"/>
          <w:b w:val="1"/>
          <w:bCs w:val="1"/>
          <w:i w:val="1"/>
          <w:iCs w:val="1"/>
          <w:color w:val="auto"/>
        </w:rPr>
        <w:t>Attribution Parties</w:t>
      </w:r>
      <w:r>
        <w:rPr>
          <w:rFonts w:ascii="Times New Roman" w:cs="Times New Roman" w:eastAsia="Times New Roman" w:hAnsi="Times New Roman"/>
          <w:sz w:val="17"/>
          <w:szCs w:val="17"/>
          <w:color w:val="auto"/>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Preferred Stock subject to the Notice of Conversion, with respect to which such determination is being made, but shall exclude the number of shares of Common Stock which are issuable upon (A) conversion of the remaining, unconverted Series B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Preferred Stock, by such Holder or its Attribution Parties since the date as of which such number of outstanding shares of Common Stock was last publicly reported or confirmed to the Holder. The “</w:t>
      </w:r>
      <w:r>
        <w:rPr>
          <w:rFonts w:ascii="Times New Roman" w:cs="Times New Roman" w:eastAsia="Times New Roman" w:hAnsi="Times New Roman"/>
          <w:sz w:val="17"/>
          <w:szCs w:val="17"/>
          <w:b w:val="1"/>
          <w:bCs w:val="1"/>
          <w:i w:val="1"/>
          <w:iCs w:val="1"/>
          <w:color w:val="auto"/>
        </w:rPr>
        <w:t>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Limitation</w:t>
      </w:r>
      <w:r>
        <w:rPr>
          <w:rFonts w:ascii="Times New Roman" w:cs="Times New Roman" w:eastAsia="Times New Roman" w:hAnsi="Times New Roman"/>
          <w:sz w:val="17"/>
          <w:szCs w:val="17"/>
          <w:color w:val="auto"/>
        </w:rPr>
        <w:t>” shall initially be set at the discretion of each Holder to a percentage designated by such Holder on its signature page to the Purchase Agreement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provided, however, that any Holder that holds in excess of 19.99% of the number of shares of Common Stock outstanding immediately prior to the Effective Time shall not be subject to the ownership limitations set forth in this Section 6.4.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12 months after the initial issuance of the Series B Preferred Stock, the date that is three Business Days after the date that is 12 months after the initial issuance of the Series B Preferred Stock. Upon such a change by a Holder of the Beneficial Ownership Limitation, not to exceed 19.99%, the Beneficial Ownership Limitation may not be further amended by such Holder without first providing the minimum notice required by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shall be construed, corrected and implemented in a manner so as to effectuate the intended Beneficial Ownership Limitation herein contained and the shares of Common Stock underlying the Series B Preferred Stock in excess of the Beneficial Ownership Limitation shall not be deemed to be beneficially owned by the Holder for any purpose including for purposes of Section 13(d) or Rule 16a-1(a)(1) of the Exchange Act.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tbl>
      <w:tblPr>
        <w:tblLayout w:type="fixed"/>
        <w:tblInd w:w="1960" w:type="dxa"/>
        <w:tblCellMar>
          <w:top w:w="0" w:type="dxa"/>
          <w:left w:w="0" w:type="dxa"/>
          <w:bottom w:w="0" w:type="dxa"/>
          <w:right w:w="0" w:type="dxa"/>
        </w:tblCellMar>
      </w:tblPr>
      <w:tr>
        <w:trPr>
          <w:trHeight w:val="195"/>
        </w:trPr>
        <w:tc>
          <w:tcPr>
            <w:tcW w:w="5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6.5</w:t>
            </w:r>
          </w:p>
        </w:tc>
        <w:tc>
          <w:tcPr>
            <w:tcW w:w="300" w:type="dxa"/>
            <w:vAlign w:val="bottom"/>
          </w:tcPr>
          <w:p>
            <w:pPr>
              <w:spacing w:after="0"/>
              <w:rPr>
                <w:sz w:val="17"/>
                <w:szCs w:val="17"/>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Mechanics of Conversion.</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7"/>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6.5.1</w:t>
            </w:r>
          </w:p>
        </w:tc>
        <w:tc>
          <w:tcPr>
            <w:tcW w:w="684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9"/>
              </w:rPr>
              <w:t>Delivery of Certificate or Electronic Issuance. Upon Conversion not later than two (2) Trading Days</w:t>
            </w:r>
          </w:p>
        </w:tc>
      </w:tr>
      <w:tr>
        <w:trPr>
          <w:trHeight w:val="20"/>
        </w:trPr>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after the applicable Conversion Date, or if the Holder requests the issuance of physical certificate(s), two (2) Trading Days after receipt by the Corporation of the original certificate(s) representing such shares of Series B Preferred Stock being converted, duly endorsed, and the accompanying Notice of Conversion (the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Delivery Date</w:t>
      </w:r>
      <w:r>
        <w:rPr>
          <w:rFonts w:ascii="Times New Roman" w:cs="Times New Roman" w:eastAsia="Times New Roman" w:hAnsi="Times New Roman"/>
          <w:sz w:val="17"/>
          <w:szCs w:val="17"/>
          <w:color w:val="auto"/>
        </w:rPr>
        <w:t>”), the Corporation shall either: (a) deliver, or cause to be delivered, to the converting Holder a physical certificate or certificates representing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Conversion Shares being acquired upon the conversion of shares of Series B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Preferred Stock unsuccessfully tendered for conversion to the Corporation.</w:t>
      </w:r>
    </w:p>
    <w:p>
      <w:pPr>
        <w:spacing w:after="0" w:line="186" w:lineRule="exact"/>
        <w:rPr>
          <w:sz w:val="20"/>
          <w:szCs w:val="20"/>
          <w:color w:val="auto"/>
        </w:rPr>
      </w:pPr>
    </w:p>
    <w:p>
      <w:pPr>
        <w:jc w:val="both"/>
        <w:ind w:firstLine="2980"/>
        <w:spacing w:after="0" w:line="252" w:lineRule="auto"/>
        <w:rPr>
          <w:sz w:val="20"/>
          <w:szCs w:val="20"/>
          <w:color w:val="auto"/>
        </w:rPr>
      </w:pPr>
      <w:r>
        <w:rPr>
          <w:rFonts w:ascii="Times New Roman" w:cs="Times New Roman" w:eastAsia="Times New Roman" w:hAnsi="Times New Roman"/>
          <w:sz w:val="17"/>
          <w:szCs w:val="17"/>
          <w:color w:val="auto"/>
        </w:rPr>
        <w:t xml:space="preserve">6.5.2 </w:t>
      </w:r>
      <w:r>
        <w:rPr>
          <w:rFonts w:ascii="Times New Roman" w:cs="Times New Roman" w:eastAsia="Times New Roman" w:hAnsi="Times New Roman"/>
          <w:sz w:val="17"/>
          <w:szCs w:val="17"/>
          <w:u w:val="single" w:color="auto"/>
          <w:color w:val="auto"/>
        </w:rPr>
        <w:t>Obligation Absolute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6.4 and subject to Holder’s right to rescind a Notice of Conversion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the Corporation’s obligation to issue and deliver the Conversion Shares upon conversion of Series B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subject to Holder’s right to rescind a Notice of Conversion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in the event a Holder shall elect to convert any or all of its Series B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Preferred Stock of such Holder shall have been sought and obtained by the Corporation, and the Corporation posts a surety bond for the benefit of such Holder in the amount of 150% of the value of the Conversion Shares into which would be converted the Series B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and subject to Holder’s right to rescind a Notice of Conversion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issue Conversion Shares upon a properly noticed conversion.</w:t>
      </w:r>
    </w:p>
    <w:p>
      <w:pPr>
        <w:spacing w:after="0" w:line="181" w:lineRule="exact"/>
        <w:rPr>
          <w:sz w:val="20"/>
          <w:szCs w:val="20"/>
          <w:color w:val="auto"/>
        </w:rPr>
      </w:pPr>
    </w:p>
    <w:p>
      <w:pPr>
        <w:jc w:val="both"/>
        <w:ind w:firstLine="2954"/>
        <w:spacing w:after="0" w:line="252" w:lineRule="auto"/>
        <w:rPr>
          <w:sz w:val="20"/>
          <w:szCs w:val="20"/>
          <w:color w:val="auto"/>
        </w:rPr>
      </w:pPr>
      <w:r>
        <w:rPr>
          <w:rFonts w:ascii="Times New Roman" w:cs="Times New Roman" w:eastAsia="Times New Roman" w:hAnsi="Times New Roman"/>
          <w:sz w:val="17"/>
          <w:szCs w:val="17"/>
          <w:color w:val="auto"/>
        </w:rPr>
        <w:t xml:space="preserve">6.5.3 </w:t>
      </w:r>
      <w:r>
        <w:rPr>
          <w:rFonts w:ascii="Times New Roman" w:cs="Times New Roman" w:eastAsia="Times New Roman" w:hAnsi="Times New Roman"/>
          <w:sz w:val="17"/>
          <w:szCs w:val="17"/>
          <w:u w:val="single" w:color="auto"/>
          <w:color w:val="auto"/>
        </w:rPr>
        <w:t>Cash Settlement</w:t>
      </w:r>
      <w:r>
        <w:rPr>
          <w:rFonts w:ascii="Times New Roman" w:cs="Times New Roman" w:eastAsia="Times New Roman" w:hAnsi="Times New Roman"/>
          <w:sz w:val="17"/>
          <w:szCs w:val="17"/>
          <w:color w:val="auto"/>
        </w:rPr>
        <w:t xml:space="preserve">. If, at any time after the earlier of Stockholder Approval or 12 months after the initial issuance of the Series B Preferred Stock, the Corporation fails to deliver to a Holder such certificate or certificates, or electronically deliver (or instruct its transfer agent to electronically deliver) such shares in the case of a DWAC Delivery,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applicable Notice of Conversion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Times New Roman" w:cs="Times New Roman" w:eastAsia="Times New Roman" w:hAnsi="Times New Roman"/>
          <w:sz w:val="17"/>
          <w:szCs w:val="17"/>
          <w:u w:val="single" w:color="auto"/>
          <w:color w:val="auto"/>
        </w:rPr>
        <w:t>Section 6.5.3</w:t>
      </w:r>
      <w:r>
        <w:rPr>
          <w:rFonts w:ascii="Times New Roman" w:cs="Times New Roman" w:eastAsia="Times New Roman" w:hAnsi="Times New Roman"/>
          <w:sz w:val="17"/>
          <w:szCs w:val="17"/>
          <w:color w:val="auto"/>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cs="Times New Roman" w:eastAsia="Times New Roman" w:hAnsi="Times New Roman"/>
          <w:sz w:val="17"/>
          <w:szCs w:val="17"/>
          <w:u w:val="single" w:color="auto"/>
          <w:color w:val="auto"/>
        </w:rPr>
        <w:t>Section 6.5.3</w:t>
      </w:r>
      <w:r>
        <w:rPr>
          <w:rFonts w:ascii="Times New Roman" w:cs="Times New Roman" w:eastAsia="Times New Roman" w:hAnsi="Times New Roman"/>
          <w:sz w:val="17"/>
          <w:szCs w:val="17"/>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including due to limitations set forth in </w:t>
      </w:r>
      <w:r>
        <w:rPr>
          <w:rFonts w:ascii="Times New Roman" w:cs="Times New Roman" w:eastAsia="Times New Roman" w:hAnsi="Times New Roman"/>
          <w:sz w:val="17"/>
          <w:szCs w:val="17"/>
          <w:u w:val="single" w:color="auto"/>
          <w:color w:val="auto"/>
        </w:rPr>
        <w:t>Section 6.5.6</w:t>
      </w:r>
      <w:r>
        <w:rPr>
          <w:rFonts w:ascii="Times New Roman" w:cs="Times New Roman" w:eastAsia="Times New Roman" w:hAnsi="Times New Roman"/>
          <w:sz w:val="17"/>
          <w:szCs w:val="17"/>
          <w:color w:val="auto"/>
        </w:rPr>
        <w:t>, the lack of obtaining Stockholder Approval, or due to applicable Trading Market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0" w:name="page41"/>
    <w:bookmarkEnd w:id="40"/>
    <w:p>
      <w:pPr>
        <w:jc w:val="both"/>
        <w:ind w:firstLine="2878"/>
        <w:spacing w:after="0" w:line="251" w:lineRule="auto"/>
        <w:rPr>
          <w:sz w:val="20"/>
          <w:szCs w:val="20"/>
          <w:color w:val="auto"/>
        </w:rPr>
      </w:pPr>
      <w:r>
        <w:rPr>
          <w:rFonts w:ascii="Times New Roman" w:cs="Times New Roman" w:eastAsia="Times New Roman" w:hAnsi="Times New Roman"/>
          <w:sz w:val="17"/>
          <w:szCs w:val="17"/>
          <w:color w:val="auto"/>
        </w:rPr>
        <w:t xml:space="preserve">6.5.4 </w:t>
      </w:r>
      <w:r>
        <w:rPr>
          <w:rFonts w:ascii="Times New Roman" w:cs="Times New Roman" w:eastAsia="Times New Roman" w:hAnsi="Times New Roman"/>
          <w:sz w:val="17"/>
          <w:szCs w:val="17"/>
          <w:u w:val="single" w:color="auto"/>
          <w:color w:val="auto"/>
        </w:rPr>
        <w:t>Buy-In on Failure to Timely Deliver Certificates</w:t>
      </w:r>
      <w:r>
        <w:rPr>
          <w:rFonts w:ascii="Times New Roman" w:cs="Times New Roman" w:eastAsia="Times New Roman" w:hAnsi="Times New Roman"/>
          <w:sz w:val="17"/>
          <w:szCs w:val="17"/>
          <w:color w:val="auto"/>
        </w:rPr>
        <w:t xml:space="preserve">. If the Corporation fails to deliver to a Holder the applicable certificate or certificates or to effect a DWAC Delivery, as applicable, by the Share Delivery Date pursuant to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7"/>
          <w:szCs w:val="17"/>
          <w:b w:val="1"/>
          <w:bCs w:val="1"/>
          <w:i w:val="1"/>
          <w:iCs w:val="1"/>
          <w:color w:val="auto"/>
        </w:rPr>
        <w:t>Buy-In</w:t>
      </w:r>
      <w:r>
        <w:rPr>
          <w:rFonts w:ascii="Times New Roman" w:cs="Times New Roman" w:eastAsia="Times New Roman" w:hAnsi="Times New Roman"/>
          <w:sz w:val="17"/>
          <w:szCs w:val="17"/>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Preferred Stock equal to the number of shares of Series B Preferred Stock submitted for conversion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 xml:space="preserve">. For example, if a Holder purchases shares of Common Stock having a total purchase price of $11,000 to cover a Buy-In with respect to an attempted conversion of shares of Series B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Preferred Stock as required pursuant to the terms hereof or the cash settlement remedy set forth in </w:t>
      </w:r>
      <w:r>
        <w:rPr>
          <w:rFonts w:ascii="Times New Roman" w:cs="Times New Roman" w:eastAsia="Times New Roman" w:hAnsi="Times New Roman"/>
          <w:sz w:val="17"/>
          <w:szCs w:val="17"/>
          <w:u w:val="single" w:color="auto"/>
          <w:color w:val="auto"/>
        </w:rPr>
        <w:t>Section 6.5.3</w:t>
      </w:r>
      <w:r>
        <w:rPr>
          <w:rFonts w:ascii="Times New Roman" w:cs="Times New Roman" w:eastAsia="Times New Roman" w:hAnsi="Times New Roman"/>
          <w:sz w:val="17"/>
          <w:szCs w:val="17"/>
          <w:color w:val="auto"/>
        </w:rPr>
        <w:t xml:space="preserve">; provided, however, that the Holder shall not be entitled to both (i) require the reissuance of the shares of Series B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cs="Times New Roman" w:eastAsia="Times New Roman" w:hAnsi="Times New Roman"/>
          <w:sz w:val="17"/>
          <w:szCs w:val="17"/>
          <w:u w:val="single" w:color="auto"/>
          <w:color w:val="auto"/>
        </w:rPr>
        <w:t>Section 6.5.1</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jc w:val="both"/>
        <w:ind w:firstLine="2840"/>
        <w:spacing w:after="0" w:line="255" w:lineRule="auto"/>
        <w:rPr>
          <w:sz w:val="20"/>
          <w:szCs w:val="20"/>
          <w:color w:val="auto"/>
        </w:rPr>
      </w:pPr>
      <w:r>
        <w:rPr>
          <w:rFonts w:ascii="Times New Roman" w:cs="Times New Roman" w:eastAsia="Times New Roman" w:hAnsi="Times New Roman"/>
          <w:sz w:val="17"/>
          <w:szCs w:val="17"/>
          <w:color w:val="auto"/>
        </w:rPr>
        <w:t xml:space="preserve">6.5.5 </w:t>
      </w:r>
      <w:r>
        <w:rPr>
          <w:rFonts w:ascii="Times New Roman" w:cs="Times New Roman" w:eastAsia="Times New Roman" w:hAnsi="Times New Roman"/>
          <w:sz w:val="17"/>
          <w:szCs w:val="17"/>
          <w:u w:val="single" w:color="auto"/>
          <w:color w:val="auto"/>
        </w:rPr>
        <w:t>Reservation of Shares Issuable Upon Conversion</w:t>
      </w:r>
      <w:r>
        <w:rPr>
          <w:rFonts w:ascii="Times New Roman" w:cs="Times New Roman" w:eastAsia="Times New Roman" w:hAnsi="Times New Roman"/>
          <w:sz w:val="17"/>
          <w:szCs w:val="17"/>
          <w:color w:val="auto"/>
        </w:rPr>
        <w:t xml:space="preserve">. The Corporation covenants that at all times it will reserve and keep available out of its authorized and unissued shares of Common Stock for the sole purpose of issuance upon conversion of the Series B Preferred Stock, free from preemptive rights or any other actual contingent purchase rights of Persons other than the Holders of the Series B Preferred Stock, not less than such aggregate number of shares of the Common Stock as shall be issuable (taking into account the adjustments of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upon the conversion of all outstanding shares of Series B Preferred Stock. The Corporation covenants that all shares of Common Stock that shall be so issuable shall, upon issue, be duly authorized, validly issued, fully paid and Partial-assessable.</w:t>
      </w:r>
    </w:p>
    <w:p>
      <w:pPr>
        <w:spacing w:after="0" w:line="180" w:lineRule="exact"/>
        <w:rPr>
          <w:sz w:val="20"/>
          <w:szCs w:val="20"/>
          <w:color w:val="auto"/>
        </w:rPr>
      </w:pPr>
    </w:p>
    <w:p>
      <w:pPr>
        <w:jc w:val="both"/>
        <w:ind w:firstLine="2942"/>
        <w:spacing w:after="0" w:line="255" w:lineRule="auto"/>
        <w:rPr>
          <w:sz w:val="20"/>
          <w:szCs w:val="20"/>
          <w:color w:val="auto"/>
        </w:rPr>
      </w:pPr>
      <w:r>
        <w:rPr>
          <w:rFonts w:ascii="Times New Roman" w:cs="Times New Roman" w:eastAsia="Times New Roman" w:hAnsi="Times New Roman"/>
          <w:sz w:val="17"/>
          <w:szCs w:val="17"/>
          <w:color w:val="auto"/>
        </w:rPr>
        <w:t xml:space="preserve">6.5.6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of Common Stock shall be issued upon conversion of the Series B Preferred Stock, no certificates or scrip for any such fractional shares shall be issued and no cash shall be paid for any such fractional shares. Any fractional shares of Common Stock that a Holder of Series B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Preferred Stock the Holder seeks to convert into Common Stock and the aggregate number of shares of Common Stock issuable upon such conversion.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jc w:val="both"/>
        <w:ind w:firstLine="2852"/>
        <w:spacing w:after="0" w:line="255" w:lineRule="auto"/>
        <w:rPr>
          <w:sz w:val="20"/>
          <w:szCs w:val="20"/>
          <w:color w:val="auto"/>
        </w:rPr>
      </w:pPr>
      <w:r>
        <w:rPr>
          <w:rFonts w:ascii="Times New Roman" w:cs="Times New Roman" w:eastAsia="Times New Roman" w:hAnsi="Times New Roman"/>
          <w:sz w:val="17"/>
          <w:szCs w:val="17"/>
          <w:color w:val="auto"/>
        </w:rPr>
        <w:t xml:space="preserve">6.5.7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The issuance of certificates for shares of the Common Stock upon conversion of the Series B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80" w:lineRule="exact"/>
        <w:rPr>
          <w:sz w:val="20"/>
          <w:szCs w:val="20"/>
          <w:color w:val="auto"/>
        </w:rPr>
      </w:pPr>
    </w:p>
    <w:p>
      <w:pPr>
        <w:jc w:val="both"/>
        <w:ind w:firstLine="1999"/>
        <w:spacing w:after="0" w:line="255"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Status as Stockholder</w:t>
      </w:r>
      <w:r>
        <w:rPr>
          <w:rFonts w:ascii="Times New Roman" w:cs="Times New Roman" w:eastAsia="Times New Roman" w:hAnsi="Times New Roman"/>
          <w:sz w:val="17"/>
          <w:szCs w:val="17"/>
          <w:color w:val="auto"/>
        </w:rPr>
        <w:t>. Upon each Conversion Date, (i) the shares of Series B Preferred Stock being converted shall be deemed converted into shares of Common Stock and (ii) the Holder’s rights as a holder of such converted shares of Series B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B Preferred Stock. In no event shall the Series B Preferred Stock convert into shares of Common Stock prior to the Stockholder Approval.</w:t>
      </w:r>
    </w:p>
    <w:p>
      <w:pPr>
        <w:spacing w:after="0" w:line="180" w:lineRule="exact"/>
        <w:rPr>
          <w:sz w:val="20"/>
          <w:szCs w:val="20"/>
          <w:color w:val="auto"/>
        </w:rPr>
      </w:pPr>
    </w:p>
    <w:p>
      <w:pPr>
        <w:ind w:left="1960" w:hanging="736"/>
        <w:spacing w:after="0"/>
        <w:tabs>
          <w:tab w:leader="none" w:pos="1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1987"/>
        <w:spacing w:after="0" w:line="256"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Stock Dividends and Stock Splits</w:t>
      </w:r>
      <w:r>
        <w:rPr>
          <w:rFonts w:ascii="Times New Roman" w:cs="Times New Roman" w:eastAsia="Times New Roman" w:hAnsi="Times New Roman"/>
          <w:sz w:val="17"/>
          <w:szCs w:val="17"/>
          <w:color w:val="auto"/>
        </w:rPr>
        <w:t>. If the Corporation, at any time while this Series B Preferred Stock is outstanding: (A) pays a stock dividend or otherwise makes a distribution or distributions payable in shares of Common Stock (which, for avoidance of doubt, shall not include any shares of Common Stock issued by the Corporation upon conversion of this Series B Preferred Stock) with respect to the then outstanding shares of Common Stock;</w:t>
      </w:r>
    </w:p>
    <w:p>
      <w:pPr>
        <w:spacing w:after="0" w:line="1" w:lineRule="exact"/>
        <w:rPr>
          <w:sz w:val="20"/>
          <w:szCs w:val="20"/>
          <w:color w:val="auto"/>
        </w:rPr>
      </w:pPr>
    </w:p>
    <w:p>
      <w:pPr>
        <w:jc w:val="both"/>
        <w:ind w:firstLine="2"/>
        <w:spacing w:after="0" w:line="252" w:lineRule="auto"/>
        <w:tabs>
          <w:tab w:leader="none" w:pos="26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both"/>
        <w:ind w:firstLine="1961"/>
        <w:spacing w:after="0" w:line="251"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xml:space="preserve">. If, at any time while this Series B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to which the Common Stock is effectively converted into or exchanged for other securities, cash or property (in any such case, a “</w:t>
      </w:r>
      <w:r>
        <w:rPr>
          <w:rFonts w:ascii="Times New Roman" w:cs="Times New Roman" w:eastAsia="Times New Roman" w:hAnsi="Times New Roman"/>
          <w:sz w:val="17"/>
          <w:szCs w:val="17"/>
          <w:b w:val="1"/>
          <w:bCs w:val="1"/>
          <w:i w:val="1"/>
          <w:iCs w:val="1"/>
          <w:color w:val="auto"/>
        </w:rPr>
        <w:t>Fundamental Transaction</w:t>
      </w:r>
      <w:r>
        <w:rPr>
          <w:rFonts w:ascii="Times New Roman" w:cs="Times New Roman" w:eastAsia="Times New Roman" w:hAnsi="Times New Roman"/>
          <w:sz w:val="17"/>
          <w:szCs w:val="17"/>
          <w:color w:val="auto"/>
        </w:rPr>
        <w:t>”), then, upon any subsequent conversion of this Series B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7"/>
          <w:szCs w:val="17"/>
          <w:b w:val="1"/>
          <w:bCs w:val="1"/>
          <w:i w:val="1"/>
          <w:iCs w:val="1"/>
          <w:color w:val="auto"/>
        </w:rPr>
        <w:t>Alternate Consideration</w:t>
      </w:r>
      <w:r>
        <w:rPr>
          <w:rFonts w:ascii="Times New Roman" w:cs="Times New Roman" w:eastAsia="Times New Roman" w:hAnsi="Times New Roman"/>
          <w:sz w:val="17"/>
          <w:szCs w:val="17"/>
          <w:color w:val="auto"/>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 ensuring that this Series B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186" w:lineRule="exact"/>
        <w:rPr>
          <w:sz w:val="20"/>
          <w:szCs w:val="20"/>
          <w:color w:val="auto"/>
        </w:rPr>
      </w:pPr>
    </w:p>
    <w:p>
      <w:pPr>
        <w:jc w:val="both"/>
        <w:ind w:firstLine="1961"/>
        <w:spacing w:after="0" w:line="26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xml:space="preserve">. All calculations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be made to the nearest cent or the nearest 1/100th of a share, as the case may be. For purposes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70" w:lineRule="exact"/>
        <w:rPr>
          <w:sz w:val="20"/>
          <w:szCs w:val="20"/>
          <w:color w:val="auto"/>
        </w:rPr>
      </w:pPr>
    </w:p>
    <w:p>
      <w:pPr>
        <w:jc w:val="both"/>
        <w:ind w:firstLine="1224"/>
        <w:spacing w:after="0" w:line="264" w:lineRule="auto"/>
        <w:tabs>
          <w:tab w:leader="none" w:pos="196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xml:space="preserve">. The shares of Series B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cs="Times New Roman" w:eastAsia="Times New Roman" w:hAnsi="Times New Roman"/>
          <w:sz w:val="17"/>
          <w:szCs w:val="17"/>
          <w:u w:val="single" w:color="auto"/>
          <w:color w:val="auto"/>
        </w:rPr>
        <w:t>Section 6.5.3</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jc w:val="both"/>
        <w:ind w:firstLine="1224"/>
        <w:spacing w:after="0" w:line="264" w:lineRule="auto"/>
        <w:tabs>
          <w:tab w:leader="none" w:pos="196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shares of Series B Preferred Stock, together with the accompanying rights set forth herein, shall not be transferable, assignable, pledged or otherwise encumbered by the holder thereof without the prior written consent of the Board of Directors of the Corporation, which consent may be withheld in its sole discretion. Any attempted transfer in violation of this provision shall be null and void ab initio.</w:t>
      </w:r>
    </w:p>
    <w:p>
      <w:pPr>
        <w:spacing w:after="0" w:line="169" w:lineRule="exact"/>
        <w:rPr>
          <w:rFonts w:ascii="Times New Roman" w:cs="Times New Roman" w:eastAsia="Times New Roman" w:hAnsi="Times New Roman"/>
          <w:sz w:val="17"/>
          <w:szCs w:val="17"/>
          <w:color w:val="auto"/>
        </w:rPr>
      </w:pPr>
    </w:p>
    <w:p>
      <w:pPr>
        <w:jc w:val="both"/>
        <w:ind w:firstLine="1224"/>
        <w:spacing w:after="0" w:line="255" w:lineRule="auto"/>
        <w:tabs>
          <w:tab w:leader="none" w:pos="20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Series B Preferred Stock Register</w:t>
      </w:r>
      <w:r>
        <w:rPr>
          <w:rFonts w:ascii="Times New Roman" w:cs="Times New Roman" w:eastAsia="Times New Roman" w:hAnsi="Times New Roman"/>
          <w:sz w:val="17"/>
          <w:szCs w:val="17"/>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a register for the Series B Preferred Stock, in which the Corporation shall record (i) the name, address, and electronic mail address of each holder in whose name the shares of Series B Preferred Stock have been issued and (ii) the name, address, and electronic mail address of each transferee of any shares of Series B Preferred Stock. The Corporation may deem and treat the registered Holder of shares of Series B Preferred Stock as the absolute owner thereof for the purpose of any conversion thereof and for all other purposes. The Corporation shall keep the register open and available at all times during business hours for inspection by any holder of Series B Preferred Stock or his, her or its legal representatives.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jc w:val="both"/>
        <w:ind w:firstLine="1224"/>
        <w:spacing w:after="0" w:line="264" w:lineRule="auto"/>
        <w:tabs>
          <w:tab w:leader="none" w:pos="1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by the provisions of this Certificate of Designation to be given to a Holder of shares of Series B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169" w:lineRule="exact"/>
        <w:rPr>
          <w:rFonts w:ascii="Times New Roman" w:cs="Times New Roman" w:eastAsia="Times New Roman" w:hAnsi="Times New Roman"/>
          <w:sz w:val="17"/>
          <w:szCs w:val="17"/>
          <w:color w:val="auto"/>
        </w:rPr>
      </w:pPr>
    </w:p>
    <w:p>
      <w:pPr>
        <w:jc w:val="both"/>
        <w:ind w:firstLine="1224"/>
        <w:spacing w:after="0" w:line="259" w:lineRule="auto"/>
        <w:tabs>
          <w:tab w:leader="none" w:pos="203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Book-Entry; Certificates</w:t>
      </w:r>
      <w:r>
        <w:rPr>
          <w:rFonts w:ascii="Times New Roman" w:cs="Times New Roman" w:eastAsia="Times New Roman" w:hAnsi="Times New Roman"/>
          <w:sz w:val="17"/>
          <w:szCs w:val="17"/>
          <w:color w:val="auto"/>
        </w:rPr>
        <w:t>. The Series B Preferred Stock will be issued in book-entry form; provided that, if a Holder requests that such Holder’s shares of Series B Preferred Stock be issued in certificated form, the Corporation will instead issue a stock certificate to such Holder representing such Holder’s shares of Series B Preferred Stock. To the extent that any shares of Series B Preferred Stock are issued in book-entry form, references herein to “certificates” shall instead refer to the book-entry notation relating to such shares.</w:t>
      </w:r>
    </w:p>
    <w:p>
      <w:pPr>
        <w:spacing w:after="0" w:line="174" w:lineRule="exact"/>
        <w:rPr>
          <w:rFonts w:ascii="Times New Roman" w:cs="Times New Roman" w:eastAsia="Times New Roman" w:hAnsi="Times New Roman"/>
          <w:sz w:val="17"/>
          <w:szCs w:val="17"/>
          <w:color w:val="auto"/>
        </w:rPr>
      </w:pPr>
    </w:p>
    <w:p>
      <w:pPr>
        <w:jc w:val="both"/>
        <w:ind w:firstLine="1224"/>
        <w:spacing w:after="0" w:line="253" w:lineRule="auto"/>
        <w:tabs>
          <w:tab w:leader="none" w:pos="203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B Preferred Stock granted hereunder may be waived as to all shares of Series B Preferred Stock (and the Holders thereof) upon the written consent of the Holders of not less than a majority of the shares of Series B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80" w:lineRule="exact"/>
        <w:rPr>
          <w:rFonts w:ascii="Times New Roman" w:cs="Times New Roman" w:eastAsia="Times New Roman" w:hAnsi="Times New Roman"/>
          <w:sz w:val="17"/>
          <w:szCs w:val="17"/>
          <w:color w:val="auto"/>
        </w:rPr>
      </w:pPr>
    </w:p>
    <w:p>
      <w:pPr>
        <w:jc w:val="both"/>
        <w:ind w:firstLine="1224"/>
        <w:spacing w:after="0" w:line="264" w:lineRule="auto"/>
        <w:tabs>
          <w:tab w:leader="none" w:pos="207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69" w:lineRule="exact"/>
        <w:rPr>
          <w:rFonts w:ascii="Times New Roman" w:cs="Times New Roman" w:eastAsia="Times New Roman" w:hAnsi="Times New Roman"/>
          <w:sz w:val="17"/>
          <w:szCs w:val="17"/>
          <w:color w:val="auto"/>
        </w:rPr>
      </w:pPr>
    </w:p>
    <w:p>
      <w:pPr>
        <w:jc w:val="both"/>
        <w:ind w:firstLine="1224"/>
        <w:spacing w:after="0" w:line="259" w:lineRule="auto"/>
        <w:tabs>
          <w:tab w:leader="none" w:pos="222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Converted Series B Preferred Stock</w:t>
      </w:r>
      <w:r>
        <w:rPr>
          <w:rFonts w:ascii="Times New Roman" w:cs="Times New Roman" w:eastAsia="Times New Roman" w:hAnsi="Times New Roman"/>
          <w:sz w:val="17"/>
          <w:szCs w:val="17"/>
          <w:color w:val="auto"/>
        </w:rPr>
        <w:t>. If any shares of Series B Preferred Stock shall be converted or redeemed by the Corporation, such shares shall, to the fullest extent permitted by applicable law, be retired and cancelled upon such acquisition, and shall not be reissued as a share of Series B Preferred Stock. Any share of Series B Preferred Stock so acquired shall, upon its retirement and cancellation, and upon the taking of any action required by applicable law, resume the status of authorized but unissued shares of preferred stock and shall no longer be designated as Series B Preferred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ind w:firstLine="611"/>
        <w:spacing w:after="0" w:line="28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Gyre Therapeutics, Inc. has caused this Certificate of Designation of Preferences, Rights and Limitations of Series 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Convertible Preferred Stock to be duly executed by its Chief Financial Officer on May 4, 2026.</w:t>
      </w:r>
    </w:p>
    <w:p>
      <w:pPr>
        <w:spacing w:after="0" w:line="1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GYRE THERAPEUTICS,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Ruoyu Chen</w:t>
            </w:r>
          </w:p>
        </w:tc>
        <w:tc>
          <w:tcPr>
            <w:tcW w:w="1120" w:type="dxa"/>
            <w:vAlign w:val="bottom"/>
          </w:tcPr>
          <w:p>
            <w:pPr>
              <w:spacing w:after="0"/>
              <w:rPr>
                <w:sz w:val="19"/>
                <w:szCs w:val="19"/>
                <w:color w:val="auto"/>
              </w:rPr>
            </w:pPr>
          </w:p>
        </w:tc>
      </w:tr>
      <w:tr>
        <w:trPr>
          <w:trHeight w:val="209"/>
        </w:trPr>
        <w:tc>
          <w:tcPr>
            <w:tcW w:w="654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Name:</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Ruoyu Chen</w:t>
            </w:r>
          </w:p>
        </w:tc>
        <w:tc>
          <w:tcPr>
            <w:tcW w:w="1120" w:type="dxa"/>
            <w:vAlign w:val="bottom"/>
          </w:tcPr>
          <w:p>
            <w:pPr>
              <w:spacing w:after="0"/>
              <w:rPr>
                <w:sz w:val="18"/>
                <w:szCs w:val="18"/>
                <w:color w:val="auto"/>
              </w:rPr>
            </w:pPr>
          </w:p>
        </w:tc>
      </w:tr>
      <w:tr>
        <w:trPr>
          <w:trHeight w:val="209"/>
        </w:trPr>
        <w:tc>
          <w:tcPr>
            <w:tcW w:w="654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1120" w:type="dxa"/>
            <w:vAlign w:val="bottom"/>
          </w:tcPr>
          <w:p>
            <w:pPr>
              <w:spacing w:after="0"/>
              <w:rPr>
                <w:sz w:val="18"/>
                <w:szCs w:val="18"/>
                <w:color w:val="auto"/>
              </w:rPr>
            </w:pPr>
          </w:p>
        </w:tc>
      </w:tr>
      <w:tr>
        <w:trPr>
          <w:trHeight w:val="171"/>
        </w:trPr>
        <w:tc>
          <w:tcPr>
            <w:tcW w:w="65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NOTICE OF CONVERSION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BY THE REGISTERED HOLDER IN ORDER TO CONVERT SHARES OF SERIES B CONVERTIBLE PREFERRED STOCK)</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undersigned Holder hereby irrevocably elects to convert the number of shares of Series B Preferred Stock indicated below, represented in book-entry form, into shares of common stock,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of Gyre Therapeutics,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B Convertible Preferred Stock (the “</w:t>
      </w:r>
      <w:r>
        <w:rPr>
          <w:rFonts w:ascii="Times New Roman" w:cs="Times New Roman" w:eastAsia="Times New Roman" w:hAnsi="Times New Roman"/>
          <w:sz w:val="17"/>
          <w:szCs w:val="17"/>
          <w:b w:val="1"/>
          <w:bCs w:val="1"/>
          <w:i w:val="1"/>
          <w:iCs w:val="1"/>
          <w:color w:val="auto"/>
        </w:rPr>
        <w:t>Certificate of Designation</w:t>
      </w:r>
      <w:r>
        <w:rPr>
          <w:rFonts w:ascii="Times New Roman" w:cs="Times New Roman" w:eastAsia="Times New Roman" w:hAnsi="Times New Roman"/>
          <w:sz w:val="17"/>
          <w:szCs w:val="17"/>
          <w:color w:val="auto"/>
        </w:rPr>
        <w:t>”) filed by the Corporation with the Secretary of State of the State of Delaware on May 4, 2026.</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As of the date hereof, the number of shares of Common Stock beneficially owned by the undersigned Holder (together with such Holder’s Attribution Parties), including the number of shares of Common Stock issuable upon conversion of the Series B Preferred Stock subject to this Notice of Conversion, but excluding the number of shares of Common Stock which are issuable upon (A) conversion of the remaining, unconverted Series B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of the Certificate of Designation, is _____%. For purposes hereof, beneficial ownership shall be calculated in accordance with</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Section 13(d) of the Exchange Act and the applicable regulations of the Commission. In addition, for purposes hereof, “group” has the meaning set forth in Section 13(d) of the Exchange Act and the applicable regulations of the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CALCULATIONS: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to Effect Conversion: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Series B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-121285</wp:posOffset>
            </wp:positionV>
            <wp:extent cx="284607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284607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Series B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-121285</wp:posOffset>
            </wp:positionV>
            <wp:extent cx="284607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284607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-121285</wp:posOffset>
            </wp:positionV>
            <wp:extent cx="284607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284607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23495</wp:posOffset>
            </wp:positionV>
            <wp:extent cx="284607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2846070" cy="1587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-121285</wp:posOffset>
            </wp:positionV>
            <wp:extent cx="284607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2846070" cy="1587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DWAC Delivery, please provide the following:</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15875</wp:posOffset>
            </wp:positionV>
            <wp:extent cx="24987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15875</wp:posOffset>
            </wp:positionV>
            <wp:extent cx="24987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[HOLDER]</w:t>
      </w: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15875</wp:posOffset>
            </wp:positionV>
            <wp:extent cx="24987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15875</wp:posOffset>
            </wp:positionV>
            <wp:extent cx="24987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15875</wp:posOffset>
            </wp:positionV>
            <wp:extent cx="24987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249872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217805</wp:posOffset>
            </wp:positionV>
            <wp:extent cx="713994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1487805" cy="169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1487805"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Gyre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12730 High Bluff Drive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250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 92130</w:t>
      </w:r>
    </w:p>
    <w:p>
      <w:pPr>
        <w:sectPr>
          <w:pgSz w:w="11900" w:h="16838" w:orient="portrait"/>
          <w:cols w:equalWidth="0" w:num="1">
            <w:col w:w="11240"/>
          </w:cols>
          <w:pgMar w:left="320" w:top="259"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Gyre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Statement on Form S-3</w:t>
      </w:r>
    </w:p>
    <w:p>
      <w:pPr>
        <w:spacing w:after="0" w:line="200" w:lineRule="exact"/>
        <w:rPr>
          <w:sz w:val="20"/>
          <w:szCs w:val="20"/>
          <w:color w:val="auto"/>
        </w:rPr>
      </w:pPr>
    </w:p>
    <w:p>
      <w:pPr>
        <w:sectPr>
          <w:pgSz w:w="11900" w:h="16838" w:orient="portrait"/>
          <w:cols w:equalWidth="0" w:num="2">
            <w:col w:w="240" w:space="380"/>
            <w:col w:w="10620"/>
          </w:cols>
          <w:pgMar w:left="320" w:top="259"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have acted as counsel to Gyre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of a 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pursuant to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resale from time to time by the selling stockholders named therein of up to 30,221,531 shares of the Company’s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par value $0.001 per share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76"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color w:val="auto"/>
        </w:rPr>
        <w:t>Based upon the foregoing, and subject to the assumptions, exceptions, qualifications and limitations set forth herein, we are of the opinion that the Shares, when issued against payment therefor as set forth in the Registration Statement, will be validly issued, fully paid and non-assessable.</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Gibson, Dunn &amp; Crutcher LLP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rPr>
          <w:sz w:val="20"/>
          <w:szCs w:val="20"/>
          <w:color w:val="auto"/>
        </w:rPr>
      </w:pPr>
      <w:r>
        <w:rPr>
          <w:rFonts w:ascii="Times New Roman" w:cs="Times New Roman" w:eastAsia="Times New Roman" w:hAnsi="Times New Roman"/>
          <w:sz w:val="14"/>
          <w:szCs w:val="14"/>
          <w:color w:val="auto"/>
        </w:rPr>
        <w:t>One Embarcadero Center Suite 2600 | San Francisco, CA 94111-3715 | T: 415.393.8200 | F: 415.393.8306 | gibsondunn.com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13994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issued our reports dated March 13, 2026 with respect to the consolidated financial statements and internal control over financial reporting of Gyre Therapeutics,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Zhitong Certified Public Accountants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China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13994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48" w:name="page49"/>
    <w:bookmarkEnd w:id="48"/>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107</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S-3</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Gyre Therapeutics, Inc.</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10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Fee</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Fee</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r>
      <w:tr>
        <w:trPr>
          <w:trHeight w:val="204"/>
        </w:trPr>
        <w:tc>
          <w:tcPr>
            <w:tcW w:w="90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carried</w:t>
            </w:r>
          </w:p>
        </w:tc>
      </w:tr>
      <w:tr>
        <w:trPr>
          <w:trHeight w:val="249"/>
        </w:trPr>
        <w:tc>
          <w:tcPr>
            <w:tcW w:w="90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80" w:type="dxa"/>
            <w:vAlign w:val="bottom"/>
            <w:tcBorders>
              <w:bottom w:val="single" w:sz="8" w:color="auto"/>
              <w:right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 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r>
      <w:tr>
        <w:trPr>
          <w:trHeight w:val="197"/>
        </w:trPr>
        <w:tc>
          <w:tcPr>
            <w:tcW w:w="90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7"/>
                <w:szCs w:val="17"/>
                <w:b w:val="1"/>
                <w:bCs w:val="1"/>
                <w:color w:val="auto"/>
                <w:w w:val="99"/>
              </w:rPr>
              <w:t>Newly Registered Securities</w:t>
            </w: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206"/>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4"/>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4"/>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$0.001</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4"/>
        </w:trPr>
        <w:tc>
          <w:tcPr>
            <w:tcW w:w="9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10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39"/>
        </w:trPr>
        <w:tc>
          <w:tcPr>
            <w:tcW w:w="9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457(c)</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30,221,531</w:t>
            </w:r>
          </w:p>
        </w:tc>
        <w:tc>
          <w:tcPr>
            <w:tcW w:w="800" w:type="dxa"/>
            <w:vAlign w:val="bottom"/>
            <w:tcBorders>
              <w:bottom w:val="single" w:sz="8" w:color="auto"/>
              <w:right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$5.84</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$176,493,741.04</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0.0001381</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$24,373.79</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2"/>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1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04"/>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Previously</w:t>
            </w: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9"/>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1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196"/>
        </w:trPr>
        <w:tc>
          <w:tcPr>
            <w:tcW w:w="90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spacing w:after="0"/>
              <w:rPr>
                <w:sz w:val="17"/>
                <w:szCs w:val="17"/>
                <w:color w:val="auto"/>
              </w:rPr>
            </w:pPr>
          </w:p>
        </w:tc>
        <w:tc>
          <w:tcPr>
            <w:tcW w:w="2760" w:type="dxa"/>
            <w:vAlign w:val="bottom"/>
            <w:tcBorders>
              <w:bottom w:val="single" w:sz="8" w:color="auto"/>
              <w:right w:val="single" w:sz="8" w:color="CCEEFF"/>
            </w:tcBorders>
            <w:gridSpan w:val="3"/>
            <w:shd w:val="clear" w:color="auto" w:fill="CCEEFF"/>
          </w:tcPr>
          <w:p>
            <w:pPr>
              <w:jc w:val="center"/>
              <w:ind w:left="335"/>
              <w:spacing w:after="0"/>
              <w:rPr>
                <w:sz w:val="20"/>
                <w:szCs w:val="20"/>
                <w:color w:val="auto"/>
              </w:rPr>
            </w:pPr>
            <w:r>
              <w:rPr>
                <w:rFonts w:ascii="Times New Roman" w:cs="Times New Roman" w:eastAsia="Times New Roman" w:hAnsi="Times New Roman"/>
                <w:sz w:val="17"/>
                <w:szCs w:val="17"/>
                <w:b w:val="1"/>
                <w:bCs w:val="1"/>
                <w:color w:val="auto"/>
                <w:w w:val="98"/>
              </w:rPr>
              <w:t>Carry Forward Securities</w:t>
            </w:r>
          </w:p>
        </w:tc>
        <w:tc>
          <w:tcPr>
            <w:tcW w:w="110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06"/>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4"/>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9"/>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52"/>
        </w:trPr>
        <w:tc>
          <w:tcPr>
            <w:tcW w:w="9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2400" w:type="dxa"/>
            <w:vAlign w:val="bottom"/>
            <w:tcBorders>
              <w:bottom w:val="single" w:sz="8" w:color="CCEEFF"/>
              <w:right w:val="single" w:sz="8" w:color="auto"/>
            </w:tcBorders>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$176,493,741.04</w:t>
            </w:r>
          </w:p>
        </w:tc>
        <w:tc>
          <w:tcPr>
            <w:tcW w:w="7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$24,373.79</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1"/>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0" w:type="dxa"/>
            <w:vAlign w:val="bottom"/>
            <w:tcBorders>
              <w:top w:val="single" w:sz="8" w:color="auto"/>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52"/>
        </w:trPr>
        <w:tc>
          <w:tcPr>
            <w:tcW w:w="9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21"/>
        </w:trPr>
        <w:tc>
          <w:tcPr>
            <w:tcW w:w="900" w:type="dxa"/>
            <w:vAlign w:val="bottom"/>
            <w:tcBorders>
              <w:top w:val="single" w:sz="8" w:color="auto"/>
              <w:left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00" w:type="dxa"/>
            <w:vAlign w:val="bottom"/>
            <w:tcBorders>
              <w:top w:val="single" w:sz="8" w:color="auto"/>
              <w:right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$24,373.79</w:t>
            </w: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ind w:left="220" w:right="340" w:hanging="218"/>
        <w:spacing w:after="0" w:line="279" w:lineRule="auto"/>
        <w:tabs>
          <w:tab w:leader="none" w:pos="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of 1933, as amended (the “Securities Act”), this registration statement also covers such an indeterminate amount of shares of common stock as may become issuable to prevent dilution resulting from stock splits, stock dividends and similar events.</w:t>
      </w:r>
    </w:p>
    <w:p>
      <w:pPr>
        <w:spacing w:after="0" w:line="156" w:lineRule="exact"/>
        <w:rPr>
          <w:rFonts w:ascii="Times New Roman" w:cs="Times New Roman" w:eastAsia="Times New Roman" w:hAnsi="Times New Roman"/>
          <w:sz w:val="17"/>
          <w:szCs w:val="17"/>
          <w:color w:val="auto"/>
        </w:rPr>
      </w:pPr>
    </w:p>
    <w:p>
      <w:pPr>
        <w:ind w:left="220" w:right="400"/>
        <w:spacing w:after="0" w:line="27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registered consists of up to (i) 11,735,356 shares of Common Stock and (ii) 18,486,175 shares of Common Stock issuable upon the conversion of 3,697,235 shares of Series B Preferred Stock.</w:t>
      </w:r>
    </w:p>
    <w:p>
      <w:pPr>
        <w:spacing w:after="0" w:line="156" w:lineRule="exact"/>
        <w:rPr>
          <w:rFonts w:ascii="Times New Roman" w:cs="Times New Roman" w:eastAsia="Times New Roman" w:hAnsi="Times New Roman"/>
          <w:sz w:val="17"/>
          <w:szCs w:val="17"/>
          <w:color w:val="auto"/>
        </w:rPr>
      </w:pPr>
    </w:p>
    <w:p>
      <w:pPr>
        <w:ind w:left="220" w:right="18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based on the average of the high and low prices of the shares of common stock on the Nasdaq Capital Market on June 16, 2026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13994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sectPr>
      <w:pgSz w:w="11900" w:h="16838" w:orient="portrait"/>
      <w:cols w:equalWidth="0" w:num="1">
        <w:col w:w="11340"/>
      </w:cols>
      <w:pgMar w:left="32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Roman"/>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9"/>
    </w:lvl>
    <w:lvl w:ilvl="1">
      <w:lvlJc w:val="left"/>
      <w:lvlText w:val="(%2)"/>
      <w:numFmt w:val="lowerRoman"/>
      <w:start w:val="2"/>
    </w:lvl>
  </w:abstractNum>
  <w:abstractNum w:abstractNumId="7">
    <w:nsid w:val="3F2DBA31"/>
    <w:multiLevelType w:val="hybridMultilevel"/>
    <w:lvl w:ilvl="0">
      <w:lvlJc w:val="left"/>
      <w:lvlText w:val="(%1)"/>
      <w:numFmt w:val="upperLetter"/>
      <w:start w:val="9"/>
    </w:lvl>
  </w:abstractNum>
  <w:abstractNum w:abstractNumId="8">
    <w:nsid w:val="7C83E458"/>
    <w:multiLevelType w:val="hybridMultilevel"/>
    <w:lvl w:ilvl="0">
      <w:lvlJc w:val="left"/>
      <w:lvlText w:val="(%1)"/>
      <w:numFmt w:val="upperLetter"/>
      <w:start w:val="3"/>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07"/>
    </w:lvl>
  </w:abstractNum>
  <w:abstractNum w:abstractNumId="16">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763845E"/>
    <w:multiLevelType w:val="hybridMultilevel"/>
    <w:lvl w:ilvl="0">
      <w:lvlJc w:val="left"/>
      <w:lvlText w:val="(%1)"/>
      <w:numFmt w:val="decimal"/>
      <w:start w:val="2"/>
    </w:lvl>
    <w:lvl w:ilvl="1">
      <w:lvlJc w:val="left"/>
      <w:lvlText w:val="(%2)"/>
      <w:numFmt w:val="lowerRoman"/>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upperLetter"/>
      <w:start w:val="2"/>
    </w:lvl>
  </w:abstractNum>
  <w:abstractNum w:abstractNumId="26">
    <w:nsid w:val="2CA88611"/>
    <w:multiLevelType w:val="hybridMultilevel"/>
    <w:lvl w:ilvl="0">
      <w:lvlJc w:val="left"/>
      <w:lvlText w:val="%1."/>
      <w:numFmt w:val="decimal"/>
      <w:start w:val="8"/>
    </w:lvl>
  </w:abstractNum>
  <w:abstractNum w:abstractNumId="27">
    <w:nsid w:val="836C40E"/>
    <w:multiLevelType w:val="hybridMultilevel"/>
    <w:lvl w:ilvl="0">
      <w:lvlJc w:val="left"/>
      <w:lvlText w:val="%1."/>
      <w:numFmt w:val="decimal"/>
      <w:start w:val="1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78"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jpe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50" Type="http://schemas.openxmlformats.org/officeDocument/2006/relationships/hyperlink" Target="https://www.sec.gov/ix?doc=/Archives/edgar/data/0001124105/000119312526106251/gyre-20251231.htm" TargetMode="External"/><Relationship Id="rId51" Type="http://schemas.openxmlformats.org/officeDocument/2006/relationships/hyperlink" Target="https://www.sec.gov/ix?doc=/Archives/edgar/data/0001124105/000114036126017124/ny20063852x3_def14a.htm" TargetMode="External"/><Relationship Id="rId52" Type="http://schemas.openxmlformats.org/officeDocument/2006/relationships/hyperlink" Target="https://www.sec.gov/ix?doc=/Archives/edgar/data/0001124105/000119312526214676/gyre-20260331.htm" TargetMode="External"/><Relationship Id="rId53" Type="http://schemas.openxmlformats.org/officeDocument/2006/relationships/hyperlink" Target="https://www.sec.gov/ix?doc=/Archives/edgar/data/0001124105/000114036126007249/ef20066398_8k.htm" TargetMode="External"/><Relationship Id="rId54" Type="http://schemas.openxmlformats.org/officeDocument/2006/relationships/hyperlink" Target="https://www.sec.gov/ix?doc=/Archives/edgar/data/0001124105/000114036126010654/ef20068482_8k.htm" TargetMode="External"/><Relationship Id="rId55" Type="http://schemas.openxmlformats.org/officeDocument/2006/relationships/hyperlink" Target="https://www.sec.gov/ix?doc=/Archives/edgar/data/0001124105/000114036126015307/ef20070667_8ka.htm" TargetMode="External"/><Relationship Id="rId56" Type="http://schemas.openxmlformats.org/officeDocument/2006/relationships/hyperlink" Target="https://www.sec.gov/ix?doc=/Archives/edgar/data/0001124105/000114036126018716/ef20072211_8k.htm" TargetMode="External"/><Relationship Id="rId57" Type="http://schemas.openxmlformats.org/officeDocument/2006/relationships/hyperlink" Target="https://www.sec.gov/ix?doc=/Archives/edgar/data/0001124105/000114036126025324/ef20076059_8k.htm" TargetMode="External"/><Relationship Id="rId58" Type="http://schemas.openxmlformats.org/officeDocument/2006/relationships/hyperlink" Target="https://www.sec.gov/Archives/edgar/data/1124105/000095017025040279/gyre-ex4_1.htm" TargetMode="External"/><Relationship Id="rId67" Type="http://schemas.openxmlformats.org/officeDocument/2006/relationships/hyperlink" Target="https://www.sec.gov/Archives/edgar/data/1124105/000114036126007249/ef20066398_ex2-1.htm" TargetMode="External"/><Relationship Id="rId68" Type="http://schemas.openxmlformats.org/officeDocument/2006/relationships/hyperlink" Target="https://www.sec.gov/Archives/edgar/data/1124105/000095017024126306/gyre-ex3_1.htm" TargetMode="External"/><Relationship Id="rId69" Type="http://schemas.openxmlformats.org/officeDocument/2006/relationships/hyperlink" Target="https://www.sec.gov/Archives/edgar/data/1124105/000114036123050292/ny20009756x10_ex3-3.htm" TargetMode="External"/><Relationship Id="rId70" Type="http://schemas.openxmlformats.org/officeDocument/2006/relationships/hyperlink" Target="https://www.sec.gov/Archives/edgar/data/1124105/000119312517121994/d375894dex31.htm" TargetMode="External"/><Relationship Id="rId71" Type="http://schemas.openxmlformats.org/officeDocument/2006/relationships/hyperlink" Target="https://www.sec.gov/Archives/edgar/data/1124105/000095017024037242/gyre-ex3_6b.htm" TargetMode="External"/><Relationship Id="rId72" Type="http://schemas.openxmlformats.org/officeDocument/2006/relationships/hyperlink" Target="https://www.sec.gov/Archives/edgar/data/1124105/000114036122046943/brhc10045912_ex3-1.htm" TargetMode="External"/><Relationship Id="rId73" Type="http://schemas.openxmlformats.org/officeDocument/2006/relationships/hyperlink" Target="https://www.sec.gov/Archives/edgar/data/1124105/000114036123050292/ny20009756x10_ex3-2.htm" TargetMode="External"/><Relationship Id="rId74" Type="http://schemas.openxmlformats.org/officeDocument/2006/relationships/hyperlink" Target="https://www.sec.gov/Archives/edgar/data/1124105/000114036123030517/brhc20054638_ex3-1.htm" TargetMode="External"/><Relationship Id="rId75" Type="http://schemas.openxmlformats.org/officeDocument/2006/relationships/hyperlink" Target="https://www.sec.gov/Archives/edgar/data/1124105/000114036123042067/brhc20058284_ex3-1.htm" TargetMode="External"/><Relationship Id="rId76" Type="http://schemas.openxmlformats.org/officeDocument/2006/relationships/hyperlink" Target="https://www.sec.gov/Archives/edgar/data/1124105/000114036123050292/ny20009756x10_ex4-1.htm" TargetMode="External"/><Relationship Id="rId77" Type="http://schemas.openxmlformats.org/officeDocument/2006/relationships/hyperlink" Target="https://www.sec.gov/Archives/edgar/data/1124105/000114036126007249/ef20066398_ex10-3.htm" TargetMode="External"/><Relationship Id="rId79" Type="http://schemas.openxmlformats.org/officeDocument/2006/relationships/hyperlink" Target="https://www.sec.gov/Archives/edgar/data/1124105/000114036126007249/ef20066398_ex10-2.htm" TargetMode="External"/><Relationship Id="rId80" Type="http://schemas.openxmlformats.org/officeDocument/2006/relationships/hyperlink" Target="https://www.sec.gov/Archives/edgar/data/1124105/000114036126007249/ef20066398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2026-06-23T05:14:36Z</dcterms:created>
  <dcterms:modified xsi:type="dcterms:W3CDTF">2026-06-23T05:14:36Z</dcterms:modified>
</cp:coreProperties>
</file>