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Weston Claire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GYRE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12730 HIGH BLUFF DRIVE,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GYRE THERAPEUTICS, INC.</w:t>
              </w:r>
            </w:hyperlink>
            <w:r>
              <w:rPr/>
              <w:t xml:space="preserve"> [ </w:t>
            </w:r>
            <w:r>
              <w:rPr>
                <w:rFonts w:ascii="Times;serif" w:hAnsi="Times;serif"/>
                <w:color w:val="0000FF"/>
                <w:sz w:val="24"/>
                <w:shd w:fill="FFFFFF" w:val="clear"/>
              </w:rPr>
              <w:t>GYRE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option represents a right to purchase a total of 40,000 shares of the Issuer's common stock, which will vest in 36 equal monthly installments through August 3, 2029, subject to the Reporting Person's continued service to the Issuer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Eastling, as attorney-in-fact for Claire Weston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60874" TargetMode="External"/><Relationship Id="rId5" Type="http://schemas.openxmlformats.org/officeDocument/2006/relationships/hyperlink" Target="http://www.sec.gov/cgi-bin/browse-edgar?action=getcompany&amp;CIK=00011241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622</Words>
  <Characters>3369</Characters>
  <CharactersWithSpaces>3920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