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53975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60960</wp:posOffset>
            </wp:positionV>
            <wp:extent cx="133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60" w:type="dxa"/>
            <w:vAlign w:val="bottom"/>
            <w:tcBorders>
              <w:bottom w:val="single" w:sz="8" w:color="auto"/>
            </w:tcBorders>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r>
      <w:tr>
        <w:trPr>
          <w:trHeight w:val="186"/>
        </w:trPr>
        <w:tc>
          <w:tcPr>
            <w:tcW w:w="35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Commission file number: 000-51173</w:t>
            </w:r>
          </w:p>
        </w:tc>
      </w:tr>
    </w:tbl>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Catalyst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-283210</wp:posOffset>
            </wp:positionV>
            <wp:extent cx="1337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53340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20" w:type="dxa"/>
            <w:vAlign w:val="bottom"/>
            <w:gridSpan w:val="5"/>
          </w:tcPr>
          <w:p>
            <w:pPr>
              <w:jc w:val="center"/>
              <w:ind w:right="458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56-2020050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360" w:type="dxa"/>
            <w:vAlign w:val="bottom"/>
            <w:gridSpan w:val="7"/>
          </w:tcPr>
          <w:p>
            <w:pPr>
              <w:jc w:val="center"/>
              <w:ind w:right="35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580" w:type="dxa"/>
            <w:vAlign w:val="bottom"/>
            <w:gridSpan w:val="3"/>
          </w:tcPr>
          <w:p>
            <w:pPr>
              <w:jc w:val="center"/>
              <w:ind w:right="17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6360" w:type="dxa"/>
            <w:vAlign w:val="bottom"/>
            <w:gridSpan w:val="7"/>
          </w:tcPr>
          <w:p>
            <w:pPr>
              <w:jc w:val="center"/>
              <w:ind w:right="3540"/>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580" w:type="dxa"/>
            <w:vAlign w:val="bottom"/>
            <w:gridSpan w:val="3"/>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4"/>
                <w:szCs w:val="14"/>
                <w:color w:val="auto"/>
              </w:rPr>
            </w:pPr>
          </w:p>
        </w:tc>
        <w:tc>
          <w:tcPr>
            <w:tcW w:w="6360" w:type="dxa"/>
            <w:vAlign w:val="bottom"/>
            <w:gridSpan w:val="7"/>
          </w:tcPr>
          <w:p>
            <w:pPr>
              <w:jc w:val="center"/>
              <w:ind w:right="3520"/>
              <w:spacing w:after="0"/>
              <w:rPr>
                <w:sz w:val="20"/>
                <w:szCs w:val="20"/>
                <w:color w:val="auto"/>
              </w:rPr>
            </w:pPr>
            <w:r>
              <w:rPr>
                <w:rFonts w:ascii="Times New Roman" w:cs="Times New Roman" w:eastAsia="Times New Roman" w:hAnsi="Times New Roman"/>
                <w:sz w:val="13"/>
                <w:szCs w:val="13"/>
                <w:b w:val="1"/>
                <w:bCs w:val="1"/>
                <w:color w:val="auto"/>
              </w:rPr>
              <w:t>611 Gateway Blvd. Suite 710</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400" w:type="dxa"/>
            <w:vAlign w:val="bottom"/>
          </w:tcPr>
          <w:p>
            <w:pPr>
              <w:spacing w:after="0"/>
              <w:rPr>
                <w:sz w:val="12"/>
                <w:szCs w:val="12"/>
                <w:color w:val="auto"/>
              </w:rPr>
            </w:pPr>
          </w:p>
        </w:tc>
        <w:tc>
          <w:tcPr>
            <w:tcW w:w="6360" w:type="dxa"/>
            <w:vAlign w:val="bottom"/>
            <w:gridSpan w:val="7"/>
          </w:tcPr>
          <w:p>
            <w:pPr>
              <w:jc w:val="center"/>
              <w:ind w:right="3520"/>
              <w:spacing w:after="0" w:line="141" w:lineRule="exact"/>
              <w:rPr>
                <w:sz w:val="20"/>
                <w:szCs w:val="20"/>
                <w:color w:val="auto"/>
              </w:rPr>
            </w:pPr>
            <w:r>
              <w:rPr>
                <w:rFonts w:ascii="Times New Roman" w:cs="Times New Roman" w:eastAsia="Times New Roman" w:hAnsi="Times New Roman"/>
                <w:sz w:val="13"/>
                <w:szCs w:val="13"/>
                <w:b w:val="1"/>
                <w:bCs w:val="1"/>
                <w:color w:val="auto"/>
              </w:rPr>
              <w:t>South San Francisco, California</w:t>
            </w:r>
          </w:p>
        </w:tc>
        <w:tc>
          <w:tcPr>
            <w:tcW w:w="1040" w:type="dxa"/>
            <w:vAlign w:val="bottom"/>
            <w:gridSpan w:val="2"/>
          </w:tcPr>
          <w:p>
            <w:pPr>
              <w:jc w:val="right"/>
              <w:ind w:right="137"/>
              <w:spacing w:after="0" w:line="141" w:lineRule="exact"/>
              <w:rPr>
                <w:sz w:val="20"/>
                <w:szCs w:val="20"/>
                <w:color w:val="auto"/>
              </w:rPr>
            </w:pPr>
            <w:r>
              <w:rPr>
                <w:rFonts w:ascii="Times New Roman" w:cs="Times New Roman" w:eastAsia="Times New Roman" w:hAnsi="Times New Roman"/>
                <w:sz w:val="13"/>
                <w:szCs w:val="13"/>
                <w:b w:val="1"/>
                <w:bCs w:val="1"/>
                <w:color w:val="auto"/>
              </w:rPr>
              <w:t>94080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6360" w:type="dxa"/>
            <w:vAlign w:val="bottom"/>
            <w:gridSpan w:val="7"/>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(Address of Chief Executive Offices)</w:t>
            </w:r>
          </w:p>
        </w:tc>
        <w:tc>
          <w:tcPr>
            <w:tcW w:w="104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gridSpan w:val="3"/>
          </w:tcPr>
          <w:p>
            <w:pPr>
              <w:jc w:val="center"/>
              <w:ind w:left="2630"/>
              <w:spacing w:after="0" w:line="153" w:lineRule="exact"/>
              <w:rPr>
                <w:sz w:val="20"/>
                <w:szCs w:val="20"/>
                <w:color w:val="auto"/>
              </w:rPr>
            </w:pPr>
            <w:r>
              <w:rPr>
                <w:rFonts w:ascii="Times New Roman" w:cs="Times New Roman" w:eastAsia="Times New Roman" w:hAnsi="Times New Roman"/>
                <w:sz w:val="14"/>
                <w:szCs w:val="14"/>
                <w:b w:val="1"/>
                <w:bCs w:val="1"/>
                <w:color w:val="auto"/>
              </w:rPr>
              <w:t>(650) 871-0761</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20" w:type="dxa"/>
            <w:vAlign w:val="bottom"/>
            <w:gridSpan w:val="5"/>
          </w:tcPr>
          <w:p>
            <w:pPr>
              <w:jc w:val="center"/>
              <w:ind w:left="970"/>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5"/>
          </w:tcPr>
          <w:p>
            <w:pPr>
              <w:jc w:val="center"/>
              <w:ind w:left="97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440" w:type="dxa"/>
            <w:vAlign w:val="bottom"/>
            <w:gridSpan w:val="3"/>
          </w:tcPr>
          <w:p>
            <w:pPr>
              <w:jc w:val="center"/>
              <w:ind w:left="1249"/>
              <w:spacing w:after="0" w:line="145"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140" w:type="dxa"/>
            <w:vAlign w:val="bottom"/>
          </w:tcPr>
          <w:p>
            <w:pPr>
              <w:spacing w:after="0"/>
              <w:rPr>
                <w:sz w:val="12"/>
                <w:szCs w:val="12"/>
                <w:color w:val="auto"/>
              </w:rPr>
            </w:pPr>
          </w:p>
        </w:tc>
        <w:tc>
          <w:tcPr>
            <w:tcW w:w="3180" w:type="dxa"/>
            <w:vAlign w:val="bottom"/>
            <w:gridSpan w:val="4"/>
          </w:tcPr>
          <w:p>
            <w:pPr>
              <w:jc w:val="center"/>
              <w:ind w:right="1100"/>
              <w:spacing w:after="0" w:line="145"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500" w:type="dxa"/>
            <w:vAlign w:val="bottom"/>
          </w:tcPr>
          <w:p>
            <w:pPr>
              <w:spacing w:after="0"/>
              <w:rPr>
                <w:sz w:val="12"/>
                <w:szCs w:val="12"/>
                <w:color w:val="auto"/>
              </w:rPr>
            </w:pPr>
          </w:p>
        </w:tc>
        <w:tc>
          <w:tcPr>
            <w:tcW w:w="2940" w:type="dxa"/>
            <w:vAlign w:val="bottom"/>
            <w:gridSpan w:val="5"/>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CBIO</w:t>
            </w:r>
          </w:p>
        </w:tc>
        <w:tc>
          <w:tcPr>
            <w:tcW w:w="164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ind w:left="300"/>
              <w:spacing w:after="0" w:line="144" w:lineRule="exact"/>
              <w:rPr>
                <w:sz w:val="20"/>
                <w:szCs w:val="20"/>
                <w:color w:val="auto"/>
              </w:rPr>
            </w:pPr>
            <w:r>
              <w:rPr>
                <w:rFonts w:ascii="Times New Roman" w:cs="Times New Roman" w:eastAsia="Times New Roman" w:hAnsi="Times New Roman"/>
                <w:sz w:val="13"/>
                <w:szCs w:val="13"/>
                <w:b w:val="1"/>
                <w:bCs w:val="1"/>
                <w:color w:val="auto"/>
              </w:rPr>
              <w:t>NASDAQ</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gridSpan w:val="5"/>
          </w:tcPr>
          <w:p>
            <w:pPr>
              <w:jc w:val="center"/>
              <w:ind w:left="99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20" w:type="dxa"/>
            <w:vAlign w:val="bottom"/>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gridSpan w:val="2"/>
            <w:vMerge w:val="restart"/>
          </w:tcPr>
          <w:p>
            <w:pPr>
              <w:jc w:val="center"/>
              <w:ind w:right="317"/>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60" w:type="dxa"/>
            <w:vAlign w:val="bottom"/>
            <w:gridSpan w:val="8"/>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1040" w:type="dxa"/>
            <w:vAlign w:val="bottom"/>
            <w:gridSpan w:val="2"/>
            <w:vMerge w:val="continue"/>
          </w:tcPr>
          <w:p>
            <w:pPr>
              <w:spacing w:after="0"/>
              <w:rPr>
                <w:sz w:val="19"/>
                <w:szCs w:val="19"/>
                <w:color w:val="auto"/>
              </w:rPr>
            </w:pPr>
          </w:p>
        </w:tc>
        <w:tc>
          <w:tcPr>
            <w:tcW w:w="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80" w:type="dxa"/>
            <w:vAlign w:val="bottom"/>
          </w:tcPr>
          <w:p>
            <w:pPr>
              <w:spacing w:after="0"/>
              <w:rPr>
                <w:sz w:val="19"/>
                <w:szCs w:val="19"/>
                <w:color w:val="auto"/>
              </w:rPr>
            </w:pPr>
          </w:p>
        </w:tc>
        <w:tc>
          <w:tcPr>
            <w:tcW w:w="1580" w:type="dxa"/>
            <w:vAlign w:val="bottom"/>
            <w:gridSpan w:val="2"/>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2"/>
        </w:trPr>
        <w:tc>
          <w:tcPr>
            <w:tcW w:w="8800" w:type="dxa"/>
            <w:vAlign w:val="bottom"/>
            <w:gridSpan w:val="10"/>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Securities Exchange Act.</w:t>
            </w:r>
          </w:p>
        </w:tc>
        <w:tc>
          <w:tcPr>
            <w:tcW w:w="540" w:type="dxa"/>
            <w:vAlign w:val="bottom"/>
            <w:vMerge w:val="continue"/>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w:t>
            </w: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200" w:type="dxa"/>
            <w:vAlign w:val="bottom"/>
            <w:gridSpan w:val="14"/>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w:t>
            </w:r>
          </w:p>
        </w:tc>
        <w:tc>
          <w:tcPr>
            <w:tcW w:w="0" w:type="dxa"/>
            <w:vAlign w:val="bottom"/>
          </w:tcPr>
          <w:p>
            <w:pPr>
              <w:spacing w:after="0"/>
              <w:rPr>
                <w:sz w:val="1"/>
                <w:szCs w:val="1"/>
                <w:color w:val="auto"/>
              </w:rPr>
            </w:pPr>
          </w:p>
        </w:tc>
      </w:tr>
      <w:tr>
        <w:trPr>
          <w:trHeight w:val="207"/>
        </w:trPr>
        <w:tc>
          <w:tcPr>
            <w:tcW w:w="8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(or for such shorter period that the registrant was required to file such reports), and (2) has been subject to such filing requirements for the past 90 days.</w:t>
            </w:r>
          </w:p>
        </w:tc>
        <w:tc>
          <w:tcPr>
            <w:tcW w:w="54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158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4"/>
        </w:trPr>
        <w:tc>
          <w:tcPr>
            <w:tcW w:w="11200" w:type="dxa"/>
            <w:vAlign w:val="bottom"/>
            <w:gridSpan w:val="14"/>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w:t>
            </w:r>
          </w:p>
        </w:tc>
        <w:tc>
          <w:tcPr>
            <w:tcW w:w="0" w:type="dxa"/>
            <w:vAlign w:val="bottom"/>
          </w:tcPr>
          <w:p>
            <w:pPr>
              <w:spacing w:after="0"/>
              <w:rPr>
                <w:sz w:val="1"/>
                <w:szCs w:val="1"/>
                <w:color w:val="auto"/>
              </w:rPr>
            </w:pPr>
          </w:p>
        </w:tc>
      </w:tr>
      <w:tr>
        <w:trPr>
          <w:trHeight w:val="220"/>
        </w:trPr>
        <w:tc>
          <w:tcPr>
            <w:tcW w:w="776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this chapter) during the preceding 12 months (or for such shorter period that the registrant was required to submit such files).  Yes </w:t>
            </w:r>
            <w:r>
              <w:rPr>
                <w:rFonts w:ascii="MS PGothic" w:cs="MS PGothic" w:eastAsia="MS PGothic" w:hAnsi="MS PGothic"/>
                <w:sz w:val="14"/>
                <w:szCs w:val="14"/>
                <w:color w:val="auto"/>
              </w:rPr>
              <w:t>☒</w:t>
            </w:r>
          </w:p>
        </w:tc>
        <w:tc>
          <w:tcPr>
            <w:tcW w:w="1040" w:type="dxa"/>
            <w:vAlign w:val="bottom"/>
            <w:gridSpan w:val="2"/>
          </w:tcPr>
          <w:p>
            <w:pPr>
              <w:jc w:val="center"/>
              <w:ind w:right="317"/>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1200" w:type="dxa"/>
            <w:vAlign w:val="bottom"/>
            <w:gridSpan w:val="14"/>
          </w:tcPr>
          <w:p>
            <w:pPr>
              <w:ind w:left="600"/>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w:t>
            </w:r>
          </w:p>
        </w:tc>
        <w:tc>
          <w:tcPr>
            <w:tcW w:w="0" w:type="dxa"/>
            <w:vAlign w:val="bottom"/>
          </w:tcPr>
          <w:p>
            <w:pPr>
              <w:spacing w:after="0"/>
              <w:rPr>
                <w:sz w:val="1"/>
                <w:szCs w:val="1"/>
                <w:color w:val="auto"/>
              </w:rPr>
            </w:pPr>
          </w:p>
        </w:tc>
      </w:tr>
      <w:tr>
        <w:trPr>
          <w:trHeight w:val="179"/>
        </w:trPr>
        <w:tc>
          <w:tcPr>
            <w:tcW w:w="93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definitions of “large accelerated filer,” “accelerated filer,” “smaller reporting company,” and "emerging growth company" in Rule 12b-2 of the Exchange Act.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320" w:type="dxa"/>
            <w:vAlign w:val="bottom"/>
            <w:gridSpan w:val="5"/>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320" w:type="dxa"/>
            <w:vAlign w:val="bottom"/>
            <w:gridSpan w:val="5"/>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80" w:type="dxa"/>
            <w:vAlign w:val="bottom"/>
          </w:tcPr>
          <w:p>
            <w:pPr>
              <w:spacing w:after="0"/>
              <w:rPr>
                <w:sz w:val="18"/>
                <w:szCs w:val="18"/>
                <w:color w:val="auto"/>
              </w:rPr>
            </w:pPr>
          </w:p>
        </w:tc>
        <w:tc>
          <w:tcPr>
            <w:tcW w:w="6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980" w:type="dxa"/>
            <w:vAlign w:val="bottom"/>
          </w:tcPr>
          <w:p>
            <w:pPr>
              <w:spacing w:after="0"/>
              <w:rPr>
                <w:sz w:val="19"/>
                <w:szCs w:val="19"/>
                <w:color w:val="auto"/>
              </w:rPr>
            </w:pPr>
          </w:p>
        </w:tc>
        <w:tc>
          <w:tcPr>
            <w:tcW w:w="6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600"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58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860" w:val="left"/>
          <w:tab w:leader="none" w:pos="8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Securities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80" w:firstLine="589"/>
        <w:spacing w:after="0" w:line="251" w:lineRule="auto"/>
        <w:rPr>
          <w:sz w:val="20"/>
          <w:szCs w:val="20"/>
          <w:color w:val="auto"/>
        </w:rPr>
      </w:pPr>
      <w:r>
        <w:rPr>
          <w:rFonts w:ascii="Times New Roman" w:cs="Times New Roman" w:eastAsia="Times New Roman" w:hAnsi="Times New Roman"/>
          <w:sz w:val="14"/>
          <w:szCs w:val="14"/>
          <w:color w:val="auto"/>
        </w:rPr>
        <w:t>As of March 25, 2022, the number of outstanding shares of the registrant’s common stock, par value $0.001 per share, was 31,477,053. The aggregate market value of the voting stock held by non-affiliates of the registrant as of June 30, 2021, was $135,045,079.</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7" w:lineRule="exact"/>
        <w:rPr>
          <w:sz w:val="24"/>
          <w:szCs w:val="24"/>
          <w:color w:val="auto"/>
        </w:rPr>
      </w:pPr>
    </w:p>
    <w:p>
      <w:pPr>
        <w:ind w:right="160" w:firstLine="589"/>
        <w:spacing w:after="0" w:line="243" w:lineRule="auto"/>
        <w:rPr>
          <w:sz w:val="20"/>
          <w:szCs w:val="20"/>
          <w:color w:val="auto"/>
        </w:rPr>
      </w:pPr>
      <w:r>
        <w:rPr>
          <w:rFonts w:ascii="Times New Roman" w:cs="Times New Roman" w:eastAsia="Times New Roman" w:hAnsi="Times New Roman"/>
          <w:sz w:val="14"/>
          <w:szCs w:val="14"/>
          <w:color w:val="auto"/>
        </w:rPr>
        <w:t>Portions of the Registrant's proxy statement for its 2022 Annual Meeting of Stockholders (the “Proxy Statement”), to be filed with the U.S. Securities and Exchange Commission, no later than 120 days after the Registrant’s fiscal year ended December 31, 2021, are incorporated by reference 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515620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17"/>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CATALYST BIOSCIENCES, INC.</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1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1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13"/>
            <w:vMerge w:val="restart"/>
          </w:tcPr>
          <w:p>
            <w:pPr>
              <w:jc w:val="center"/>
              <w:ind w:right="412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gridSpan w:val="13"/>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20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160" w:type="dxa"/>
            <w:vAlign w:val="bottom"/>
            <w:gridSpan w:val="10"/>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Unresolved Staff Comments</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Properties</w:t>
              </w:r>
            </w:hyperlink>
          </w:p>
        </w:tc>
        <w:tc>
          <w:tcPr>
            <w:tcW w:w="1300" w:type="dxa"/>
            <w:vAlign w:val="bottom"/>
            <w:tcBorders>
              <w:top w:val="single" w:sz="8" w:color="0000EE"/>
            </w:tcBorders>
            <w:gridSpan w:val="7"/>
          </w:tcPr>
          <w:p>
            <w:pPr>
              <w:spacing w:after="0"/>
              <w:rPr>
                <w:sz w:val="17"/>
                <w:szCs w:val="17"/>
                <w:color w:val="auto"/>
              </w:rPr>
            </w:pPr>
          </w:p>
        </w:tc>
        <w:tc>
          <w:tcPr>
            <w:tcW w:w="6900" w:type="dxa"/>
            <w:vAlign w:val="bottom"/>
            <w:gridSpan w:val="19"/>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1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Legal Proceedings</w:t>
              </w:r>
            </w:hyperlink>
          </w:p>
        </w:tc>
        <w:tc>
          <w:tcPr>
            <w:tcW w:w="7600" w:type="dxa"/>
            <w:vAlign w:val="bottom"/>
            <w:gridSpan w:val="23"/>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Mine Safety Disclosures</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7"/>
              </w:rPr>
            </w:pPr>
            <w:hyperlink w:anchor="page62">
              <w:r>
                <w:rPr>
                  <w:rFonts w:ascii="Times New Roman" w:cs="Times New Roman" w:eastAsia="Times New Roman" w:hAnsi="Times New Roman"/>
                  <w:sz w:val="18"/>
                  <w:szCs w:val="18"/>
                  <w:b w:val="1"/>
                  <w:bCs w:val="1"/>
                  <w:color w:val="0000EE"/>
                  <w:w w:val="97"/>
                </w:rPr>
                <w:t>PART II</w:t>
              </w:r>
            </w:hyperlink>
          </w:p>
        </w:tc>
        <w:tc>
          <w:tcPr>
            <w:tcW w:w="41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80" w:type="dxa"/>
            <w:vAlign w:val="bottom"/>
            <w:tcBorders>
              <w:top w:val="single" w:sz="8" w:color="0000EE"/>
            </w:tcBorders>
            <w:gridSpan w:val="29"/>
          </w:tcPr>
          <w:p>
            <w:pPr>
              <w:spacing w:after="0" w:line="22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hyperlink w:anchor="page63">
              <w:r>
                <w:rPr>
                  <w:rFonts w:ascii="Times New Roman" w:cs="Times New Roman" w:eastAsia="Times New Roman" w:hAnsi="Times New Roman"/>
                  <w:sz w:val="17"/>
                  <w:szCs w:val="17"/>
                  <w:color w:val="0000EE"/>
                </w:rPr>
                <w:t>Reserved</w:t>
              </w:r>
            </w:hyperlink>
            <w:r>
              <w:rPr>
                <w:rFonts w:ascii="Times New Roman" w:cs="Times New Roman" w:eastAsia="Times New Roman" w:hAnsi="Times New Roman"/>
                <w:sz w:val="22"/>
                <w:szCs w:val="22"/>
                <w:color w:val="auto"/>
              </w:rPr>
              <w:t>]</w:t>
            </w:r>
          </w:p>
        </w:tc>
        <w:tc>
          <w:tcPr>
            <w:tcW w:w="8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4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80" w:type="dxa"/>
            <w:vAlign w:val="bottom"/>
            <w:gridSpan w:val="3"/>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4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Quantitative and Qualitative Disclosures About Market Risk</w:t>
              </w:r>
            </w:hyperlink>
          </w:p>
        </w:tc>
        <w:tc>
          <w:tcPr>
            <w:tcW w:w="4580" w:type="dxa"/>
            <w:vAlign w:val="bottom"/>
            <w:gridSpan w:val="11"/>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8.</w:t>
            </w: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Financial Statements and Supplementary Data</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460" w:type="dxa"/>
            <w:vAlign w:val="bottom"/>
            <w:gridSpan w:val="2"/>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1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Controls and Procedures</w:t>
              </w:r>
            </w:hyperlink>
          </w:p>
        </w:tc>
        <w:tc>
          <w:tcPr>
            <w:tcW w:w="7160" w:type="dxa"/>
            <w:vAlign w:val="bottom"/>
            <w:gridSpan w:val="21"/>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1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05">
              <w:r>
                <w:rPr>
                  <w:rFonts w:ascii="Times New Roman" w:cs="Times New Roman" w:eastAsia="Times New Roman" w:hAnsi="Times New Roman"/>
                  <w:sz w:val="18"/>
                  <w:szCs w:val="18"/>
                  <w:color w:val="0000EE"/>
                  <w:w w:val="98"/>
                </w:rPr>
                <w:t>Other Information</w:t>
              </w:r>
            </w:hyperlink>
          </w:p>
        </w:tc>
        <w:tc>
          <w:tcPr>
            <w:tcW w:w="7620" w:type="dxa"/>
            <w:vAlign w:val="bottom"/>
            <w:gridSpan w:val="24"/>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4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Disclosure Regarding Foreign Jurisdictions that Prevent Inspections</w:t>
              </w:r>
            </w:hyperlink>
          </w:p>
        </w:tc>
        <w:tc>
          <w:tcPr>
            <w:tcW w:w="4040" w:type="dxa"/>
            <w:vAlign w:val="bottom"/>
            <w:gridSpan w:val="5"/>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w w:val="96"/>
              </w:rPr>
            </w:pPr>
            <w:hyperlink w:anchor="page106">
              <w:r>
                <w:rPr>
                  <w:rFonts w:ascii="Times New Roman" w:cs="Times New Roman" w:eastAsia="Times New Roman" w:hAnsi="Times New Roman"/>
                  <w:sz w:val="18"/>
                  <w:szCs w:val="18"/>
                  <w:b w:val="1"/>
                  <w:bCs w:val="1"/>
                  <w:color w:val="0000EE"/>
                  <w:w w:val="96"/>
                </w:rPr>
                <w:t>PART III</w:t>
              </w:r>
            </w:hyperlink>
          </w:p>
        </w:tc>
        <w:tc>
          <w:tcPr>
            <w:tcW w:w="408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Directors, Executive Officers and Corporate Governance</w:t>
              </w:r>
            </w:hyperlink>
          </w:p>
        </w:tc>
        <w:tc>
          <w:tcPr>
            <w:tcW w:w="4840" w:type="dxa"/>
            <w:vAlign w:val="bottom"/>
            <w:gridSpan w:val="15"/>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Executive Compensation</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 xml:space="preserve">Security Ownership of Certain Beneficial Owners and Management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Related Stockholder Matters</w:t>
            </w: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Certain Relationships and Related Transactions and Director Independence</w:t>
              </w:r>
            </w:hyperlink>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54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Principal Accountant Fees and Services</w:t>
              </w:r>
            </w:hyperlink>
          </w:p>
        </w:tc>
        <w:tc>
          <w:tcPr>
            <w:tcW w:w="3540" w:type="dxa"/>
            <w:vAlign w:val="bottom"/>
            <w:gridSpan w:val="4"/>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4"/>
          </w:tcPr>
          <w:p>
            <w:pPr>
              <w:jc w:val="center"/>
              <w:ind w:right="4100"/>
              <w:spacing w:after="0"/>
              <w:rPr>
                <w:rFonts w:ascii="Times New Roman" w:cs="Times New Roman" w:eastAsia="Times New Roman" w:hAnsi="Times New Roman"/>
                <w:sz w:val="18"/>
                <w:szCs w:val="18"/>
                <w:b w:val="1"/>
                <w:bCs w:val="1"/>
                <w:color w:val="0000EE"/>
                <w:w w:val="97"/>
              </w:rPr>
            </w:pPr>
            <w:hyperlink w:anchor="page107">
              <w:r>
                <w:rPr>
                  <w:rFonts w:ascii="Times New Roman" w:cs="Times New Roman" w:eastAsia="Times New Roman" w:hAnsi="Times New Roman"/>
                  <w:sz w:val="18"/>
                  <w:szCs w:val="18"/>
                  <w:b w:val="1"/>
                  <w:bCs w:val="1"/>
                  <w:color w:val="0000EE"/>
                  <w:w w:val="97"/>
                </w:rPr>
                <w:t>PART IV</w:t>
              </w:r>
            </w:hyperlink>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3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Exhibit and Financial Statement Schedules</w:t>
              </w:r>
            </w:hyperlink>
          </w:p>
        </w:tc>
        <w:tc>
          <w:tcPr>
            <w:tcW w:w="1020" w:type="dxa"/>
            <w:vAlign w:val="bottom"/>
            <w:gridSpan w:val="3"/>
          </w:tcPr>
          <w:p>
            <w:pPr>
              <w:spacing w:after="0"/>
              <w:rPr>
                <w:sz w:val="17"/>
                <w:szCs w:val="17"/>
                <w:color w:val="auto"/>
              </w:rPr>
            </w:pPr>
          </w:p>
        </w:tc>
        <w:tc>
          <w:tcPr>
            <w:tcW w:w="720" w:type="dxa"/>
            <w:vAlign w:val="bottom"/>
            <w:tcBorders>
              <w:top w:val="single" w:sz="8" w:color="0000EE"/>
            </w:tcBorders>
            <w:gridSpan w:val="6"/>
          </w:tcPr>
          <w:p>
            <w:pPr>
              <w:spacing w:after="0"/>
              <w:rPr>
                <w:sz w:val="17"/>
                <w:szCs w:val="17"/>
                <w:color w:val="auto"/>
              </w:rPr>
            </w:pPr>
          </w:p>
        </w:tc>
        <w:tc>
          <w:tcPr>
            <w:tcW w:w="4100" w:type="dxa"/>
            <w:vAlign w:val="bottom"/>
            <w:gridSpan w:val="8"/>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1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Form 10-K Summary</w:t>
              </w:r>
            </w:hyperlink>
          </w:p>
        </w:tc>
        <w:tc>
          <w:tcPr>
            <w:tcW w:w="7380" w:type="dxa"/>
            <w:vAlign w:val="bottom"/>
            <w:gridSpan w:val="22"/>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12"/>
        </w:trPr>
        <w:tc>
          <w:tcPr>
            <w:tcW w:w="10080" w:type="dxa"/>
            <w:vAlign w:val="bottom"/>
            <w:gridSpan w:val="32"/>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LIST OF EXHIBITS</w:t>
              </w:r>
            </w:hyperlink>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SIGNATURES</w:t>
              </w:r>
            </w:hyperlink>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669"/>
        </w:trPr>
        <w:tc>
          <w:tcPr>
            <w:tcW w:w="1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20"/>
          </w:tcPr>
          <w:p>
            <w:pPr>
              <w:jc w:val="center"/>
              <w:ind w:left="4089"/>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and the documents incorporated by reference herein contain forward-looking statements within the meaning of Section 27A of the Securities Act of 1933, as amended, and Section 21E of the Securities Exchange Act of 1934, as amended (the “Exchange Act”). All statements, other than statements of historical facts, included or incorporated by reference in this Annual Report on Form 10-K regarding our strategy, future results of operations, future financial condition, future revenues, projected costs, prospects, plans, intentions and objectives of management, as well as the assumptions that underlie these statements, are forward-looking statements. These forward-looking statements should not be relied upon as predictions of future events as we cannot assure you that the events or circumstances reflected in these statements will be achieved or will occur. Forward-looking statements are identified by words such as “believes,” “expects,” “may,” “will,” “should,” “seeks,” “intends,” “plans,” “pro forma,” “estimates,” or “anticipates” or the negative of these words and phrases or other variations of these words and phrases or comparable terminology, although not all forward-looking statements contain these identifying words. Such forward-looking statements are based on our management’s assumptions and assessments in light of information currently available to our management, its experience and its perception of historical trends, current conditions, expected future developments and other factors our management believes to be appropriate.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should read these statements carefully because they discuss future expectations, contain projections of future results of operations or financial condition, or state other “forward-looking” information. These statements relate to our plans, objectives, expectations, intentions and financial performance and the assumptions that underlie these statements. For example, forward-looking statements include any statements regarding:</w:t>
      </w:r>
    </w:p>
    <w:p>
      <w:pPr>
        <w:spacing w:after="0" w:line="68" w:lineRule="exact"/>
        <w:rPr>
          <w:sz w:val="20"/>
          <w:szCs w:val="20"/>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strategies, prospects, plans, expectations or objectives of management for future operations;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specific product candidates;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duration, progress or outcomes of the development of product candidates or programs;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 progress and potential results of our current and future clinical studies and trials;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products candidates against other competing products;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product candidates or the commercial or market opportunity in any target indication;</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117" w:lineRule="exact"/>
        <w:rPr>
          <w:rFonts w:ascii="Times New Roman" w:cs="Times New Roman" w:eastAsia="Times New Roman" w:hAnsi="Times New Roman"/>
          <w:sz w:val="18"/>
          <w:szCs w:val="18"/>
          <w:color w:val="auto"/>
        </w:rPr>
      </w:pPr>
    </w:p>
    <w:p>
      <w:pPr>
        <w:ind w:left="1440" w:right="720" w:hanging="852"/>
        <w:spacing w:after="0" w:line="282" w:lineRule="auto"/>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revenues, costs or expenses, statements regarding future economic conditions or performance, statements of belief and any statement of assumptions underlying any of the foregoing;</w:t>
      </w:r>
    </w:p>
    <w:p>
      <w:pPr>
        <w:spacing w:after="0" w:line="53"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filings for or approval of any of our product candidates;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third-party collaborations, including estimated milestones;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seek, and the ability to enter into, strategic alliances, partnerships and collaborations;</w:t>
      </w:r>
    </w:p>
    <w:p>
      <w:pPr>
        <w:spacing w:after="0" w:line="117" w:lineRule="exact"/>
        <w:rPr>
          <w:rFonts w:ascii="Times New Roman" w:cs="Times New Roman" w:eastAsia="Times New Roman" w:hAnsi="Times New Roman"/>
          <w:sz w:val="18"/>
          <w:szCs w:val="18"/>
          <w:color w:val="auto"/>
        </w:rPr>
      </w:pPr>
    </w:p>
    <w:p>
      <w:pPr>
        <w:ind w:left="1440" w:hanging="852"/>
        <w:spacing w:after="0" w:line="282" w:lineRule="auto"/>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of our collaborators, including the responsibility to make cost reimbursement, milestone, royalty and other payments to us, and our expectations regarding our collaborators’ plans with respect to our products;</w:t>
      </w:r>
    </w:p>
    <w:p>
      <w:pPr>
        <w:spacing w:after="0" w:line="53"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clinical trials and the possible commencement of future clinical trials;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for obtaining regulatory approval of our product candidates;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and timing of applications for regulatory approval;</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States (U.S.) Food and Drug Administration (“FDA”) and other government regulations on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1440" w:right="60" w:hanging="852"/>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obtaining and protecting patents and other intellectual property rights, as well as avoiding the intellectual property rights of others;</w:t>
      </w:r>
    </w:p>
    <w:p>
      <w:pPr>
        <w:spacing w:after="0" w:line="53"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companies that will compete with the products we license to third-party collaborators;</w:t>
      </w:r>
    </w:p>
    <w:p>
      <w:pPr>
        <w:spacing w:after="0" w:line="117" w:lineRule="exact"/>
        <w:rPr>
          <w:rFonts w:ascii="Times New Roman" w:cs="Times New Roman" w:eastAsia="Times New Roman" w:hAnsi="Times New Roman"/>
          <w:sz w:val="18"/>
          <w:szCs w:val="18"/>
          <w:color w:val="auto"/>
        </w:rPr>
      </w:pPr>
    </w:p>
    <w:p>
      <w:pPr>
        <w:ind w:left="1440" w:right="480" w:hanging="852"/>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we may commercialize our own products and build up our commercial, sales and marketing capabilities and other required infrastructure;</w:t>
      </w:r>
    </w:p>
    <w:p>
      <w:pPr>
        <w:spacing w:after="0" w:line="53"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including the number of employees and the continued service of key management, technical and scientific personnel;</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performance and obligations under agreements we have entered into, such as our collaboration agreement with Biogen;</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performance and our expectations regarding our ability to achieve profitability;</w:t>
      </w:r>
    </w:p>
    <w:p>
      <w:pPr>
        <w:spacing w:after="0" w:line="117" w:lineRule="exact"/>
        <w:rPr>
          <w:rFonts w:ascii="Times New Roman" w:cs="Times New Roman" w:eastAsia="Times New Roman" w:hAnsi="Times New Roman"/>
          <w:sz w:val="18"/>
          <w:szCs w:val="18"/>
          <w:color w:val="auto"/>
        </w:rPr>
      </w:pPr>
    </w:p>
    <w:p>
      <w:pPr>
        <w:ind w:left="1440" w:hanging="852"/>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us to purchase supplies and raw materials from third parties, and the ability of third parties to provide us with required supplies and raw materials;</w:t>
      </w:r>
    </w:p>
    <w:p>
      <w:pPr>
        <w:spacing w:after="0" w:line="53" w:lineRule="exact"/>
        <w:rPr>
          <w:rFonts w:ascii="Times New Roman" w:cs="Times New Roman" w:eastAsia="Times New Roman" w:hAnsi="Times New Roman"/>
          <w:sz w:val="18"/>
          <w:szCs w:val="18"/>
          <w:color w:val="auto"/>
        </w:rPr>
      </w:pPr>
    </w:p>
    <w:p>
      <w:pPr>
        <w:ind w:left="1440" w:right="240" w:hanging="852"/>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cash resources, anticipated capital requirements and capital expenditures and our need for additional financing, as well as our plans for obtaining and ability to obtain such additional financing;</w:t>
      </w:r>
    </w:p>
    <w:p>
      <w:pPr>
        <w:spacing w:after="0" w:line="53"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future revenues;</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 and estimates, including revenue recognition policies; and</w:t>
      </w:r>
    </w:p>
    <w:p>
      <w:pPr>
        <w:spacing w:after="0" w:line="117" w:lineRule="exact"/>
        <w:rPr>
          <w:rFonts w:ascii="Times New Roman" w:cs="Times New Roman" w:eastAsia="Times New Roman" w:hAnsi="Times New Roman"/>
          <w:sz w:val="18"/>
          <w:szCs w:val="18"/>
          <w:color w:val="auto"/>
        </w:rPr>
      </w:pPr>
    </w:p>
    <w:p>
      <w:pPr>
        <w:ind w:left="1440" w:hanging="852"/>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belief and any statement of assumptions underlying any of the foregoing.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forward-looking statements are not guarantees of future performance and are subject to certain risks and uncertainties that could cause actual results to differ materially from those anticipated in or contemplated by such forward-looking statements. Factors that might cause such a difference include, but are not limited to, the risks and uncertainties described in this Annual Report on Form 10-K, including those risks described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 All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considering future developments. We caution investors that our business and financial performance are subject to substantial risks and uncertainties and they should carefully consider the factors set forth in other reports or documents that we file from time to time with the Securities and Exchange Commission (the “SEC”).</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9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Unless the context requires otherwise, in this Annual Report on Form 10-K the terms “Catalyst,” the “Company,” “we,” “us” and “our” refer to Catalyst Biosciences, Inc., together with our subsidiary, Catalyst Bio, Inc., which we refer to as “Catalyst Bio.” See “Item 1— Business— Business Organization.”</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4" w:name="page5"/>
    <w:bookmarkEnd w:id="4"/>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research and clinical development biopharmaceutical company focused on developing protease therapeutics to address unmet medical needs in disorders of the complement system or where complement components are associated with progression of the disease state. Proteases are an important class of enzymes, which are key natural regulators of many biological processes, including the complement system. We use our protease engineering platform to create improved or novel molecules for treatment of diseases that result from dysregulation of the complement system. Our complement pipeline consists of a preclinical complement component 3 (“C3”) degrader program for geographic atrophy (“GA”) in dry age-related macular degeneration (“dAMD”), an improved Complement Factor I (“CFI”) protease, CB 4332, for subcutaneous (“SQ”) or intravitreal (“IVT”) therapy to restore complement homeostasis in diseases of overactive complement or CFI deficiencies, and proteases from our ProTUNE™ C3b/C4b degrader and ImmunoTUNE™ C3a/C5a degrader platforms designed to target specific disorders of the complement or inflammatory pathways. Historically, we also used our protein engineering platform to develop potential therapies for coagulation disorders, including marzeptacog alfa (activated) (“MarzAA”), a SQ administered next-generation engineered coagulation Factor VIIa (“FVIIa”) for the treatment of episodic bleeding and prophylaxis in subjects with rare bleeding disorders, and dalcinonacog alfa (“DalcA”), a next-generation SQ FIX, both of which has shown sustained efficacy and safety in mid-stage clinical trials.</w:t>
      </w:r>
    </w:p>
    <w:p>
      <w:pPr>
        <w:spacing w:after="0" w:line="19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product candidates generated by our protease engineering platform are designed to have improved functional properties such as longer half-life, improved specificity and targeting, higher potency, and increased bioavailability. These characteristics potentially allow for improved safety and efficacy for SQ administration of recombinant complement regulators, or less frequently dosed intravitreal products than current therapeutics in development.</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current complement portfolio consists of the development candidates CB 4332 and CB 2782-PEG. CB 4332 is a wholly owned, first-in-class improved albumin-fused CFI molecule intended for prophylactic SQ or IVT administration in individuals with an imbalance in complement homeostasis or a CFI deficiency. CB 2782-PEG is a potential best-in-class C3 degrader product candidate in preclinical development for the treatment of dry AMD that we had licensed to Biogen. In March 2022, we re-acquired the full rights to CB 2782-PEG adding to our promising portfolio, which includes CB 4332 our enhanced CFI development candidate. We have several engineered protease programs in discovery or early non-clinical development. These programs all target diseases caused by deficient regulation of the complement system and inflammation.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July 2021 we commenced patient enrollment in the screening (“CFI-001”) and natural history of disease (“CFI-002”) studies to assess CFI blood levels in patients who have diseases related to CFI deficiency and identify those who would benefit from CB 4332 treatment (“ConFIrm” and “ConFIdence”, respectively). As of February 2022 we have completed enrollment of these studies.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table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49240" cy="2520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We continue to experience operational and other challenges as a result of the COVID-19 global pandemic, which could delay or impact our development programs. See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Other Recent Developments and Item 1A – Risk Factors for further discussion of the current and expected impact on our business and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protease programs are designed to take advantage of nature’s natural complement regulators that restore complement homeostasis and potentially treat a variety of complement-mediated disorders. We have several protease programs currently in preclinical discovery or early non-clinical development. These programs target diseases caused by aberrant regulation of the complement system including both ocular programs, specifically for dry AMD, and systemic complement disorders, all of which are wholly owned by Catalyst.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complement system is an enzyme-based innate immune defense system with the primary role of protecting the body from pathogens. The system is naturally regulated by proteases which is the basis for our approach to addressing complement-driven diseases. Similar to the coagulation system, the complement system employs several triggering pathways, known as the classical pathway (“CP”), lectin pathway (“LP”) and alternative pathway (“AP”), which are followed by a cascading system of enzymatic reactions driven by proteases and their cofactors that, when functioning properly, ultimately leads to the destruction and removal of the pathogen or unwanted cells and proteins.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6" w:name="page7"/>
    <w:bookmarkEnd w:id="6"/>
    <w:p>
      <w:pPr>
        <w:ind w:right="280"/>
        <w:spacing w:after="0" w:line="313" w:lineRule="auto"/>
        <w:rPr>
          <w:sz w:val="20"/>
          <w:szCs w:val="20"/>
          <w:color w:val="auto"/>
        </w:rPr>
      </w:pPr>
      <w:r>
        <w:rPr>
          <w:sz w:val="1"/>
          <w:szCs w:val="1"/>
          <w:color w:val="auto"/>
        </w:rPr>
        <w:drawing>
          <wp:inline distT="0" distB="0" distL="0" distR="0">
            <wp:extent cx="4543425" cy="45243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3425" cy="452437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Figure adapted from Mastellos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Clinical promise of next-generation complement therapeutics. Nature Reviews. 2019</w:t>
      </w:r>
    </w:p>
    <w:p>
      <w:pPr>
        <w:spacing w:after="0" w:line="2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Deficient or excessive activation of the complement system leads to severe disorders, including micro-thrombotic, autoimmune and/or immune-complex diseases, severe infectious diseases, and degenerative ophthalmic or neurologic diseases affecting a variety of tissues and organ systems. Disorders of the complement system are typically manifested by the absence or imbalance of complement regulator activity, or an overactivation of one or more pathways. The absence of regulation can cause the complement system to become self-destructive or not provide the necessary protection when needed. The protease therapeutic candidates generated by our platforms are designed to correct or restore the missing balance in the complement system that drives several diseases.</w:t>
      </w:r>
    </w:p>
    <w:p>
      <w:pPr>
        <w:spacing w:after="0" w:line="1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Proteases are uniquely poised to regulate key biological functions such as the complement system, either by promoting or limiting the cascade of events that leads to eventual clearing of foreign and damaged proteins, inflammation and formation of the membrane attack complex, which is deposited on the surface of cells and drives their destruction. Compared with antibodies and small molecule inhibitors that generally require a sustained excess of therapeutic compound over that of the target, Catalyst’s protease therapeutic candidates are based on natural regulatory proteins that are capable of rapidly engaging and modulating large quantities of target molecules, as each protease molecule can degrade many target molecules over their effective lifetime. This means that our proteases are ideal for regulating high abundancy targets such as complement proteins in a way antibodies and small molecule</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3" w:right="439" w:bottom="1440" w:gutter="0" w:footer="0" w:header="0"/>
        </w:sectPr>
      </w:pPr>
    </w:p>
    <w:bookmarkStart w:id="7" w:name="page8"/>
    <w:bookmarkEnd w:id="7"/>
    <w:p>
      <w:pPr>
        <w:ind w:right="260"/>
        <w:spacing w:after="0" w:line="282" w:lineRule="auto"/>
        <w:rPr>
          <w:sz w:val="20"/>
          <w:szCs w:val="20"/>
          <w:color w:val="auto"/>
        </w:rPr>
      </w:pPr>
      <w:r>
        <w:rPr>
          <w:rFonts w:ascii="Times New Roman" w:cs="Times New Roman" w:eastAsia="Times New Roman" w:hAnsi="Times New Roman"/>
          <w:sz w:val="18"/>
          <w:szCs w:val="18"/>
          <w:color w:val="auto"/>
        </w:rPr>
        <w:t>inhibitors cannot. A protease therapeutic is not consumed in the process of cleaving or degrading its target, therefore, smaller amounts of protease-based drug molecules can have a profound impact on biological pathways.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CB 2782-PEG: C3 Degrading Protease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CB 2782-PEG is an engineered pegylated C3 degrader previously licensed to Biogen that we designed with a best-in-class anti-C3 profile for geographic atrophy (“GA”) in dry AMD. Dry AMD is an ocular disease that leads to vision loss and blindness for which there is currently no approved therapy. CB 2782-PEG degrades C3 in the eye reducing the steady state level of C3 activity. It is expected that maintaining low C3 levels in the eye can significantly slow disease progression and vision loss in patients with dry AMD. We have demonstrated in preclinical non-human primate models that we have the potential to reduce C3 levels in humans based on modeling studies for up to 3 months with a single intravitreal injection. In September 2021, Apellis released the results of the DERBY and OAKS phase 3 trials for GA secondary to dry AMD, showing that once-monthly pegcetacoplan, a pegylated C3 targeted inhibitor, was safe and efficacious, meeting its primary endpoint in one trial and narrowly missing the primary endpoint in a second trial for reducing GA lesion growth over a 12-month period. Further subpopulation analyses demonstrated a greater effect of reducing GA lesion growth in those subjects with extrafoveal lesions at baseline. CB 2782-PEG provides a differentiated mechanism of action by degrading both C3 and one of its byproducts, C3a potentially offering not only less frequent dosing but a more efficacious mechanism than pegcetacoplan or other complement inhibitors in development for GA.</w:t>
      </w:r>
    </w:p>
    <w:p>
      <w:pPr>
        <w:spacing w:after="0" w:line="19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global market potential in dry AMD has been estimated to be $8.6 billion which could grow to over $18.0 billion by 2028. In December 2019, we entered into a License and Collaboration Agreement with Biogen for the development and commercialization of CB2782-PEG. In March 2022, Biogen terminated the license agreement and returned full rights to CB 2782-PEG.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CB 4332: Engineered Complement Factor I</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CB 4332 is an engineered albumin-fused version of the CFI protease with an extended half-life that can be dosed subcutaneously or intravitreally in individuals who would benefit from enhanced regulation of complement. CFI is the central regulator of the complement system and CB 4332 has the potential to address several mechanistically related diseases driven by complement imbalance such as: Lupus Nephritis (“LN”), Systemic Lupus Erythematosus (“SLE”), warm Autoimmune Hemolytic Anemia (“wAIHA”), atypical Hemolytic Uremic Syndrome (“aHUS”), C3 Glomerulonephritis (“C3G”), and Immune Complex Membranoproliferative Glomerulonephritis (“IC-MPGN”), dry AMD and complete CFI deficiency (“CFID”), a rare immunodeficiency primarily affecting children. These are severe, chronic, life-threatening diseases that result in a significantly decreased quality of life for the afflicted individual.</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CB 4332 can be dosed subcutaneously for systemic diseases or by IVT injection for ophthalmic indications. As a key complement regulator, CFI has the potential to be used in several complement dysregulated diseases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those associated with hyperactive complement) in which additional upstream regulation may prove more effective than inhibiting specific downstream targets such as C3 or C5, where many of current molecules in development are targeted.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Individuals with complete or significant absence of endogenous CFI may present with a variety of disease manifestations, such as recurrent invasive infections with encapsulated bacteria, but are also at risk of developing autoimmune and/or immune-complex diseases such as chronic inflammation of the blood vessels of the brain, spinal cord, heart, or kidneys. No CFI replacement therapy, including for prophylactic use, has been approved, and patients often receive supportive care with lifelong antibiotic treatment, which may cause a range of additional problems. We have received pre-IND guidance from the FDA as well as Rare Pediatric Disease Designation of CB 4332 for treatment of CFI deficiency in January 2022.</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Low circulating serum CFI levels have been shown to be associated with rare CFI genetic variants and all forms of AMD ranging from early to late-stage manifestations. Studies have estimated the prevalence rates of CFI deficiency in GA to be approximately 20%, suggesting that CFI is a prognostic biomarker for progression of GA. Approximately 1 million individuals globally are predicted to have low serum CFI levels and may potentially benefit from targeted CFI therapy. Gyroscope released interim results from its FOCUS phase 1/2a trial for patients with GA and having rare CFI variants, showing that gene therapy with GT005, an AAV-delivered CFI rebalanced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right="580"/>
        <w:spacing w:after="0" w:line="282" w:lineRule="auto"/>
        <w:rPr>
          <w:sz w:val="20"/>
          <w:szCs w:val="20"/>
          <w:color w:val="auto"/>
        </w:rPr>
      </w:pPr>
      <w:r>
        <w:rPr>
          <w:rFonts w:ascii="Times New Roman" w:cs="Times New Roman" w:eastAsia="Times New Roman" w:hAnsi="Times New Roman"/>
          <w:sz w:val="18"/>
          <w:szCs w:val="18"/>
          <w:color w:val="auto"/>
        </w:rPr>
        <w:t>the overactivation of complement observed in the vitreous with sustained expression of CFI. The FOCUS data also showed that AAV-delivered CFI reduced complement biomarkers in the broader GA population who do not have a rare CFI genetic variant.</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additional early-stage complement discovery programs that target different proteins of the complement system including proteases from our ProTUNE™ C3b/C4b degrader and ImmunoTUNE™ C3a/C5a degrader platforms. These proteases are designed to target specific disorders of the complement or inflammatory pathways. The ProTUNE™ platform generates optimized, next-generation engineered CFI molecules that are selectively enhanced for potency and target engagement. We expect to nominate a development candidate and target indication from this platform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 intellectual property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United States Patent and Trademark Offices issued a patent covering Catalyst’s portfolio of engineered proteases that selectively cleave and degrade complement Factor 3 (C3), including the lead candidate CB 2782-PEG, a potential best-in-class treatment for dry AMD. These modified proteases inhibit complement activation and have the potential to treat multiple diseases in which complement activation plays a role. The patent provides protection until at least 2038. Our portfolio further encompasses additional issued patents on complement protein degrading proteases and pending applications in the complement space across a range of targets and protease scaffolds, including multiple pending applications covering CB 4332 and next generation engineered CFI molecules.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Coagulation Programs for Licensing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Hemophilia is a rare and serious bleeding disorder that results from a genetic or an acquired deficiency of a factor required for normal blood coagulation. There are two major types of hemophilia: Hemophilia A and Hemophilia B, caused by abnormalities in coagulation Factor VIII or Factor IX, respectively. Deficiencies in these factors reduce the ability of the affected individuals to form clots and stop bleeding. Hemophilia A occurs in approximately 1 in 5,000 male births, and Hemophilia B in approximately 1 in 20,000 male births. Patients with hemophilia suffer from spontaneous and traumatic bleeding episodes that can become limb- or life-threatening. In cases of severe hemophilia, spontaneous bleeding into muscles or joints is frequent and often results in disabling irreversible joint damage. Currently there is no cure for hemophilia. Hemophilia treatments involve on-demand management of acute bleeding episodes or prophylactic treatment using factor replacement or bypassing therapy. Replacement therapy involves frequent IV administration of the missing factors to prevent or stop bleeding. IV infusion is invasive, painful, time consuming and particularly challenging to administer to children. Often times, patients must seek assistance of a health professional for the IV infusion.</w:t>
      </w:r>
    </w:p>
    <w:p>
      <w:pPr>
        <w:spacing w:after="0" w:line="188"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We believe that SQ dosing will be an important improvement for the treatment of hemophilia and other rare benign hematology indications. Our nonclinical and clinical studies have shown that MarzAA is nine-fold more potent than NovoSeven RT and that DalcA is 22-fold more potent than BeneFIX. The enhanced potency of MarzAA and DalcA allows for SQ dosing using a small volume injection, which we believe will provide for more effective, durable and convenient treatments of spontaneous bleeds with MarzAA and prophylactic protection with MarzAA and DalcA, especially for children and adults with difficult IV access. In late 2018 Hemlibra®, a bispecific antibody mimicking FVIIIa, was approved for SQ prophylaxis in Hemophilia A with or without inhibitors but Hemlibra cannot treat breakthrough spontaneous bleeding.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MarzAA and DalcA Clinical Development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MarzAA is a potent, subcutaneously administered, next-generation Factor VIIa variant. The development program began with a Phase 1 clinical trial evaluating the pharmacokinetics and pharmacodynamics of MarzAA administered IV in patients with severe Hemophilia A and B with and without inhibitors. In 2019, we successfully completed a Phase 2 open-label SQ prophylaxis trial that met all primary and secondary end points. The Phase 2 trial was designed to evaluate the efficacy of MarzAA in preventing bleeding episodes. We completed a Phase 1/2 PK/PD study in 2020, to evaluate the pharmacokinetics and pharmacodynamics of ascending single dose levels of MarzAA and twice and thrice dosing at 3-hourly intervals in individuals with Hemophilia A or B with or without inhibitors. The purpose of the trial was to determine if the timing and peak levels achieved were sufficient to treat spontaneous, episodic or breakthrough bleeding with SQ dosing and determine if increasing dose levels resulted in dose proportional pharmacokinetics. We commenced enrollment of a Phase 3 registrational trial of MarzAA for episodic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280"/>
        <w:spacing w:after="0" w:line="282" w:lineRule="auto"/>
        <w:rPr>
          <w:sz w:val="20"/>
          <w:szCs w:val="20"/>
          <w:color w:val="auto"/>
        </w:rPr>
      </w:pPr>
      <w:r>
        <w:rPr>
          <w:rFonts w:ascii="Times New Roman" w:cs="Times New Roman" w:eastAsia="Times New Roman" w:hAnsi="Times New Roman"/>
          <w:sz w:val="18"/>
          <w:szCs w:val="18"/>
          <w:color w:val="auto"/>
        </w:rPr>
        <w:t>treatment of spontaneous or traumatic bleeding episodes in adolescents and adults with congenital hemophilia A or hemophilia B with inhibitors in May 2021.</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12, 2021, we announced the discontinuation of the Phase 3 trial based on a number of factors, including challenges in enrollment resulting from the limited number of potential patients eligible to enroll in this trial, competition from competing approved therapies, delays in enrollment resulting from COVID-19, the capital requirements to complete the trial, and other factors. Patients enrolled in the study returned to their standard of care and completed all required safety assessments. In the patients enrolled to date, we have successfully treated bleeds with SQ MarzAA and have not observed any adverse events. We plan to report these data at an appropriate medical conference in the future. We had also begun enrollment of a Phase 1/2 trial of MarzAA for treatment of bleeding in individuals with Factor VII Deficiency, Glanzmann Thrombasthenia, and hemophilia A with inhibitors on emicizumab prophylaxis. We have discontinued this trial as well, in light of the difficulties in identifying and enrolling eligible patients, the capital requirements to complete the trial, and other factors. We believe that a SQ recombinant Factor VIIa therapy, like MarzAA, has the potential to be an important treatment option for patients with various bleeding disorders and are exploring opportunities to license or sell MarzAA to another party for further development.</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DalcA is a next-generation SQ Factor IX product candidate for the prophylactic treatment of individuals with Hemophilia B. We completed a Phase 1/2 SQ dosing trial that evaluated the safety and efficacy of DalcA in patients with severe Hemophilia B in a collaboration with ISU Abxis. In 2020, we completed an open-label Phase 2b study to evaluate the ability of DalcA to maintain steady state protective Factor IX levels above 12% in six individuals with severe hemophilia B. Each subject received a single intravenous dose, followed by daily SQ doses of DalcA for 28 days during which FIX activity levels, clotting parameters, half-life, safety, tolerability and anti-drug antibody formation were monitored. We are actively seeking a partner for this program. We have received guidance from the FDA on the design of the registrational Phase 3 clinical trial, have the necessary data to support its initiation, and are exploring opportunities to license or sell DalcA to another party for further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Factor IX Gene Therapy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Factor IX gene therapy construct CB 2679d-GT has demonstrated a 2-fold to 3-fold higher activity resulting in improved clotting time and blood loss in a preclinical Hemophilia B mouse model compared with the Padua variant of Factor IX. By its increased activity, CB 2679d-GT has the potential to reach higher Factor IX activity levels at lower vector doses which could improve tolerability of the vector as well as efficacy of the transgene, and ultimately lower manufacturing costs. We have licensed AAV technology from The Board of Trustees of The Leland Stanford Junior University (“Stanford”) and have evaluated optimized vector constructs in a non-human primate study under a sponsored research agreement with Stanford.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leveraging a unique protease engineering platform that builds on nature’s way of regulating key processes to generate a portfolio of novel and differentiated biopharmaceutical drug candidates. Our portfolio of engineered protease therapies is designed for individuals with disorders of the complement system across a range of potential indications where new or better treatment options are in need. The scientific basis of our strategy is based on the use of proteases, nature’s key regulatory proteins that can be engineered to circumvent the limitations of small molecule and antibody-based therapies.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late 2021 we announced a strategic change in corporate strategy, pivoting from hemophilia to a highly promising complement therapeutics and protease medicines platform. In February of 2022 we announced that we would explore strategic alternatives for the company. In March of 2022, we re-acquired the full rights to CB 2782-PEG, adding to our promising portfolio, including CB 4332 our enhanced CFI development candidate. Having the full rights to these two potentially best-in-class candidates in dry AMD provides another opportunity in our exploration of strategic alternatives. We also implemented additional expense reduction measures, including headcount reductions, while we continue this exploration.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MarzAA. </w:t>
      </w:r>
      <w:r>
        <w:rPr>
          <w:rFonts w:ascii="Times New Roman" w:cs="Times New Roman" w:eastAsia="Times New Roman" w:hAnsi="Times New Roman"/>
          <w:sz w:val="18"/>
          <w:szCs w:val="18"/>
          <w:color w:val="auto"/>
        </w:rPr>
        <w:t>In 2009, we licensed MarzAA to Wyeth Pharmaceuticals, Inc. (“Wyeth”). Wyeth was subsequently acquired by Pfizer, Inc. (“Pfizer”)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the license and collaboration agreement after completing a Phase 1 IV trial. Pursuant to the collaboration termination agreement, in exchange for the rights to certain Pfizer technology, we agreed to make payments to Pfizer in an aggregate amount equal to up to $17.5 million, payable upon the achievement of clinical, regulatory and commercial milestones. Following commercialization of any covered product, Pfizer would also receive a single-digit royalty on net product sales on a country-by-country basis for a predefined royalty term. In February 2018, we paid Pfizer a $1.0 million milestone payment based on the dosing of the first patient in a Phase 2 study.</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DalcA. </w:t>
      </w:r>
      <w:r>
        <w:rPr>
          <w:rFonts w:ascii="Times New Roman" w:cs="Times New Roman" w:eastAsia="Times New Roman" w:hAnsi="Times New Roman"/>
          <w:sz w:val="18"/>
          <w:szCs w:val="18"/>
          <w:color w:val="auto"/>
        </w:rPr>
        <w:t>We collaborated with ISU Abxis (“ISU”), in the early development of DalcA. Under the collaboration agreement, ISU conducted the Phase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of DalcA and was responsible for all manufacturing activities for the Phase 1 clinical trial. Pursuant to the agreement, as amended in December 2018, ISU is entitled to a low single-digit royalty payment, on a country-by-country basis, for net product sales of DalcA by the Company or its affiliates in each country other than South Korea. ISU is also entitled up to $19.5 million in milestone payments, of which $2.5 million are regulatory and development milestone payments and up to $17.0 million in commercial milestone payments.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CB2782-PEG. </w:t>
      </w:r>
      <w:r>
        <w:rPr>
          <w:rFonts w:ascii="Times New Roman" w:cs="Times New Roman" w:eastAsia="Times New Roman" w:hAnsi="Times New Roman"/>
          <w:sz w:val="18"/>
          <w:szCs w:val="18"/>
          <w:color w:val="auto"/>
        </w:rPr>
        <w:t>In 2019, we agreed to collaborate with Biogen to develop and commercialize CB 2782-PEG and our other anti-C3 proteases for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dry AMD and other disorders. In March 2022, Biogen terminated the license and collaboration agreement. As a result of the termination, Biogen will no longer have the rights to develop and commercialize CB 2782-PEG. We were responsible for certain preclinical and manufacturing activities, and Biogen was solely responsible for funding the preclinical and manufacturing activities and performing investigational new drug (“IND”) enabling activities, worldwide clinical development, and commercialization. We received a $15.0 million upfront payment from Biogen in January 2020 and were eligible to receive up to $340.0 million in milestone payments, along with tiered royalties for worldwide net sales of this product candidate up to low double-digits.</w:t>
      </w:r>
    </w:p>
    <w:p>
      <w:pPr>
        <w:spacing w:after="0" w:line="18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also collaborated with Mosaic Biosciences (“Mosaic”) in the development of our complement product candidates including CB 2782-PEG and CB 4332. Under the collaboration agreement, as amended in December 2019, Mosaic will perform all future services for an FTE-based fee. Pursuant to a subsequent amendment in May 2020, Mosaic received a one-time cash payment of $0.8 million and is eligible to receive up to $4.0 million in potential future milestone payments for regulatory and clinical development milestones resulting from the development of CB 2782-PEG and CB 4332 payable in cash or common stock at the Company’s election. As a result, we now own one hundred percent of all future payment streams related to these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product candidates will face competition from approved therapeutics. Competition for our product candidate pipeline comes primarily from large, well-established pharmaceutical companies, who have greater financial resources and expertise in research and development, manufacturing, conducting clinical trials, and marketing approved products. Mergers and acquisitions within the pharmaceutical and biotechnology industries may further concentrate competitors’ resources. We are not only competing with these companies in terms of technology, but also in recruiting and retaining qualified scientists and management personnel, in establishing partnerships with clinical trial sites, and in enrolling individuals into clinical trials.</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addition to current Standard of Care for individuals, clinical trials are being pursued by several parties in the field of biologics and in our lead indications. These products in development may provide efficacy, safety, convenience, and other benefits that are not provided by currently marketed therapies. As a result, they may provide significant competition for any of our product candidates for which we obtain marketing approval. Based on publicly available information, the following are some of the products currently on market or being developed by competitors in indications overlapping with those of our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22"/>
        <w:spacing w:after="0"/>
        <w:rPr>
          <w:sz w:val="20"/>
          <w:szCs w:val="20"/>
          <w:color w:val="auto"/>
        </w:rPr>
      </w:pPr>
      <w:r>
        <w:rPr>
          <w:rFonts w:ascii="Times New Roman" w:cs="Times New Roman" w:eastAsia="Times New Roman" w:hAnsi="Times New Roman"/>
          <w:sz w:val="18"/>
          <w:szCs w:val="18"/>
          <w:b w:val="1"/>
          <w:bCs w:val="1"/>
          <w:i w:val="1"/>
          <w:iCs w:val="1"/>
          <w:color w:val="auto"/>
        </w:rPr>
        <w:t>Ocular Complement Competition</w:t>
      </w:r>
    </w:p>
    <w:p>
      <w:pPr>
        <w:spacing w:after="0" w:line="121" w:lineRule="exact"/>
        <w:rPr>
          <w:sz w:val="20"/>
          <w:szCs w:val="20"/>
          <w:color w:val="auto"/>
        </w:rPr>
      </w:pPr>
    </w:p>
    <w:p>
      <w:pPr>
        <w:ind w:left="442" w:right="260" w:hanging="442"/>
        <w:spacing w:after="0" w:line="264" w:lineRule="auto"/>
        <w:tabs>
          <w:tab w:leader="none" w:pos="442"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While there are no currently approved treatments for dry AMD, several companies are developing cyclic peptide, aptamer, antibody or gene therapy based anti-complement product candidates for the treatment of dry AMD that are currently in clinical studies:</w:t>
      </w:r>
    </w:p>
    <w:p>
      <w:pPr>
        <w:spacing w:after="0" w:line="81" w:lineRule="exact"/>
        <w:rPr>
          <w:rFonts w:ascii="Courier New" w:cs="Courier New" w:eastAsia="Courier New" w:hAnsi="Courier New"/>
          <w:sz w:val="18"/>
          <w:szCs w:val="18"/>
          <w:color w:val="auto"/>
        </w:rPr>
      </w:pPr>
    </w:p>
    <w:p>
      <w:pPr>
        <w:ind w:left="442" w:right="280" w:hanging="442"/>
        <w:spacing w:after="0" w:line="264" w:lineRule="auto"/>
        <w:tabs>
          <w:tab w:leader="none" w:pos="442"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Apellis has completed two Phase 3 studies (DERBY/OAKS) in 2021 to compare the efficacy and safety of intravitreal pegacetacoplan therapy, a PEGylated cyclic peptide, in patients aged 60 years and older with GA secondary to AMD.</w:t>
      </w:r>
    </w:p>
    <w:p>
      <w:pPr>
        <w:spacing w:after="0" w:line="81" w:lineRule="exact"/>
        <w:rPr>
          <w:rFonts w:ascii="Courier New" w:cs="Courier New" w:eastAsia="Courier New" w:hAnsi="Courier New"/>
          <w:sz w:val="18"/>
          <w:szCs w:val="18"/>
          <w:color w:val="auto"/>
        </w:rPr>
      </w:pPr>
    </w:p>
    <w:p>
      <w:pPr>
        <w:ind w:left="442" w:right="360" w:hanging="442"/>
        <w:spacing w:after="0" w:line="295" w:lineRule="auto"/>
        <w:tabs>
          <w:tab w:leader="none" w:pos="442" w:val="left"/>
        </w:tabs>
        <w:numPr>
          <w:ilvl w:val="0"/>
          <w:numId w:val="5"/>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Iveric Bio (formerly Ophthotech) is developing two therapies to treat GA secondary to dry AMD. Iveric Bio completed its Phase 2b clinical of Zimura® (avacincaptad pegol) with positive data in patients with dry AMD and has an ongoing Phase 3 trial (GATHER2).</w:t>
      </w:r>
    </w:p>
    <w:p>
      <w:pPr>
        <w:spacing w:after="0" w:line="55" w:lineRule="exact"/>
        <w:rPr>
          <w:rFonts w:ascii="Courier New" w:cs="Courier New" w:eastAsia="Courier New" w:hAnsi="Courier New"/>
          <w:sz w:val="17"/>
          <w:szCs w:val="17"/>
          <w:color w:val="auto"/>
        </w:rPr>
      </w:pPr>
    </w:p>
    <w:p>
      <w:pPr>
        <w:ind w:left="442" w:right="340" w:hanging="442"/>
        <w:spacing w:after="0" w:line="264" w:lineRule="auto"/>
        <w:tabs>
          <w:tab w:leader="none" w:pos="442"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Gemini Therapeutics is developing “GEM103” a recombinant human complement factor H (“FH”) for patients with genetically well-defined dry AMD and for other genetically defined subpopulations of patients with dry AMD.</w:t>
      </w:r>
    </w:p>
    <w:p>
      <w:pPr>
        <w:spacing w:after="0" w:line="81" w:lineRule="exact"/>
        <w:rPr>
          <w:rFonts w:ascii="Courier New" w:cs="Courier New" w:eastAsia="Courier New" w:hAnsi="Courier New"/>
          <w:sz w:val="18"/>
          <w:szCs w:val="18"/>
          <w:color w:val="auto"/>
        </w:rPr>
      </w:pPr>
    </w:p>
    <w:p>
      <w:pPr>
        <w:ind w:left="442" w:hanging="442"/>
        <w:spacing w:after="0" w:line="256" w:lineRule="auto"/>
        <w:tabs>
          <w:tab w:leader="none" w:pos="442"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Gyroscope Therapeutics is developing “GT005” a gene therapeutic approach to expressing additional CFI in the patient’s eye after subretinal delivery. GT005 is being developed for a genetically well-defined subpopulation of patients with dry AMD in a Phase 1/2b trial (FOCUS). In February 2022, Gyroscope announced that Novartis has completed its acquisition of Gyroscope.</w:t>
      </w:r>
    </w:p>
    <w:p>
      <w:pPr>
        <w:spacing w:after="0" w:line="185" w:lineRule="exact"/>
        <w:rPr>
          <w:rFonts w:ascii="Courier New" w:cs="Courier New" w:eastAsia="Courier New" w:hAnsi="Courier New"/>
          <w:sz w:val="18"/>
          <w:szCs w:val="18"/>
          <w:color w:val="auto"/>
        </w:rPr>
      </w:pPr>
    </w:p>
    <w:p>
      <w:pPr>
        <w:ind w:left="442" w:right="120" w:hanging="442"/>
        <w:spacing w:after="0" w:line="256" w:lineRule="auto"/>
        <w:tabs>
          <w:tab w:leader="none" w:pos="442" w:val="left"/>
        </w:tabs>
        <w:numPr>
          <w:ilvl w:val="0"/>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NGM Biopharmaceuticals is expecting topline data from the Phase 2a study (CATALINA) to evaluate the safety and efficacy of intravitreal NGM621 in the fourth quarter of 2022. NGM621 is a C3-targeting monoclonal antibody being developed to treat geographic atropy secondary to AMD.</w:t>
      </w:r>
    </w:p>
    <w:p>
      <w:pPr>
        <w:spacing w:after="0" w:line="18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i w:val="1"/>
          <w:iCs w:val="1"/>
          <w:color w:val="auto"/>
        </w:rPr>
        <w:t>Systemic Complement Competition</w:t>
      </w:r>
    </w:p>
    <w:p>
      <w:pPr>
        <w:spacing w:after="0" w:line="121" w:lineRule="exact"/>
        <w:rPr>
          <w:sz w:val="20"/>
          <w:szCs w:val="20"/>
          <w:color w:val="auto"/>
        </w:rPr>
      </w:pPr>
    </w:p>
    <w:p>
      <w:pPr>
        <w:ind w:left="442" w:hanging="442"/>
        <w:spacing w:after="0"/>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Alexion Pharmaceuticals (a division of AstraZeneca) markets eculizumab and ravulizumab for use in aHUS.</w:t>
      </w:r>
    </w:p>
    <w:p>
      <w:pPr>
        <w:spacing w:after="0" w:line="115" w:lineRule="exact"/>
        <w:rPr>
          <w:rFonts w:ascii="Courier New" w:cs="Courier New" w:eastAsia="Courier New" w:hAnsi="Courier New"/>
          <w:sz w:val="18"/>
          <w:szCs w:val="18"/>
          <w:color w:val="auto"/>
        </w:rPr>
      </w:pPr>
    </w:p>
    <w:p>
      <w:pPr>
        <w:ind w:left="442" w:right="500" w:hanging="442"/>
        <w:spacing w:after="0" w:line="264" w:lineRule="auto"/>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Apellis is conducting clinical development for APL-2 (pegcetacoplan), a pegylated peptide based C3 inhibitor, in IgA Nephropathy (“IgAN”), LN, Membranous Nephropathy (“MN”), C3G, and Dense Deposit Disease.</w:t>
      </w:r>
    </w:p>
    <w:p>
      <w:pPr>
        <w:spacing w:after="0" w:line="81" w:lineRule="exact"/>
        <w:rPr>
          <w:rFonts w:ascii="Courier New" w:cs="Courier New" w:eastAsia="Courier New" w:hAnsi="Courier New"/>
          <w:sz w:val="18"/>
          <w:szCs w:val="18"/>
          <w:color w:val="auto"/>
        </w:rPr>
      </w:pPr>
    </w:p>
    <w:p>
      <w:pPr>
        <w:ind w:left="442" w:right="20" w:hanging="442"/>
        <w:spacing w:after="0" w:line="254" w:lineRule="auto"/>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ChemoCentryx markets avacopan (“TAVNEOS”), a twice daily oral small molecule inhibitor of the complement 5a receptor (“C5aR”) for use in combination with other standard of care such as glucocorticoids to treat adults with severe active anti-neutrophil cytoplasmic autoantibody (ANCA)-associated vasculitis. Avacopan is further being developed for in C3G and Hidradenitis Suppurativa (“HS”) in ongoing phase 2 studies.</w:t>
      </w:r>
    </w:p>
    <w:p>
      <w:pPr>
        <w:spacing w:after="0" w:line="93" w:lineRule="exact"/>
        <w:rPr>
          <w:rFonts w:ascii="Courier New" w:cs="Courier New" w:eastAsia="Courier New" w:hAnsi="Courier New"/>
          <w:sz w:val="18"/>
          <w:szCs w:val="18"/>
          <w:color w:val="auto"/>
        </w:rPr>
      </w:pPr>
    </w:p>
    <w:p>
      <w:pPr>
        <w:ind w:left="442" w:right="300" w:hanging="442"/>
        <w:spacing w:after="0" w:line="256" w:lineRule="auto"/>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Novartis is conducting clinical development for iptacopan (“LNP023”), a small peptide complement factor B inhibitor. Iptacopan is in development for PNH, as well as C3G and several other rare renal diseases including IgAN, aHUS, and membranous nephropathy. Novartis expect first FDA filings in 2023. Iptacopan has received Rare Pediatric Disease Designation in C3G.</w:t>
      </w:r>
    </w:p>
    <w:p>
      <w:pPr>
        <w:spacing w:after="0" w:line="91" w:lineRule="exact"/>
        <w:rPr>
          <w:rFonts w:ascii="Courier New" w:cs="Courier New" w:eastAsia="Courier New" w:hAnsi="Courier New"/>
          <w:sz w:val="18"/>
          <w:szCs w:val="18"/>
          <w:color w:val="auto"/>
        </w:rPr>
      </w:pPr>
    </w:p>
    <w:p>
      <w:pPr>
        <w:ind w:left="442" w:right="220" w:hanging="442"/>
        <w:spacing w:after="0" w:line="256" w:lineRule="auto"/>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Omeros is developing OMS721 (“narsoplimab”). Narsoplimab is a human monoclonal antibody targeting mannan-binding lectin-associated serine protease-2 (“MASP-2”), the effector enzyme of the lectin pathway of the complement system. Clinical activities have been initiated in IgAN, LN, MN, &amp; C3G and a phase 3 clinical program is underway in aHUS.</w:t>
      </w:r>
    </w:p>
    <w:p>
      <w:pPr>
        <w:spacing w:after="0" w:line="185" w:lineRule="exact"/>
        <w:rPr>
          <w:rFonts w:ascii="Courier New" w:cs="Courier New" w:eastAsia="Courier New" w:hAnsi="Courier New"/>
          <w:sz w:val="18"/>
          <w:szCs w:val="18"/>
          <w:color w:val="auto"/>
        </w:rPr>
      </w:pPr>
    </w:p>
    <w:p>
      <w:pPr>
        <w:ind w:left="442" w:hanging="442"/>
        <w:spacing w:after="0" w:line="264" w:lineRule="auto"/>
        <w:tabs>
          <w:tab w:leader="none" w:pos="442" w:val="left"/>
        </w:tabs>
        <w:numPr>
          <w:ilvl w:val="0"/>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Argenx is developing ARGX-117, a humanized antibody targeting complement compenent 2 (“C2”) intended to inhibit the function of C2 and downstream complement activation. ARGX-117 is currently in a Phase 1 study for Multifocal Motor Neuropathy (“MMN”).</w:t>
      </w:r>
    </w:p>
    <w:p>
      <w:pPr>
        <w:spacing w:after="0" w:line="176" w:lineRule="exact"/>
        <w:rPr>
          <w:sz w:val="20"/>
          <w:szCs w:val="20"/>
          <w:color w:val="auto"/>
        </w:rPr>
      </w:pPr>
    </w:p>
    <w:p>
      <w:pPr>
        <w:ind w:left="468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2"/>
          </w:cols>
          <w:pgMar w:left="1178" w:top="549" w:right="339" w:bottom="1440" w:gutter="0" w:footer="0" w:header="0"/>
        </w:sectPr>
      </w:pPr>
    </w:p>
    <w:bookmarkStart w:id="12" w:name="page13"/>
    <w:bookmarkEnd w:id="12"/>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Factor VIIa Competition</w:t>
      </w:r>
    </w:p>
    <w:p>
      <w:pPr>
        <w:spacing w:after="0" w:line="121" w:lineRule="exact"/>
        <w:rPr>
          <w:sz w:val="20"/>
          <w:szCs w:val="20"/>
          <w:color w:val="auto"/>
        </w:rPr>
      </w:pPr>
    </w:p>
    <w:p>
      <w:pPr>
        <w:ind w:left="1300" w:right="120" w:hanging="442"/>
        <w:spacing w:after="0" w:line="253" w:lineRule="auto"/>
        <w:tabs>
          <w:tab w:leader="none" w:pos="13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Novo Nordisk’s NovoSeven RT is an intravenous recombinant Factor VIIa indicated for treatment of bleeding episodes in individuals with Hemophilia A or B with an inhibitor to Factor VIII or Factor IX. NovoSeven was approved in 1999 and was approved as a room temperature formulation “NovoSeven RT” in 2008. The treatment has since been approved for on demand use in individuals with Factor VII deficiency and Glanzmann thrombasthenia, but not for prophylaxis. It is also approved for treatment of bleeding episodes and peri-operative management in adults with Acquired Hemophilia.</w:t>
      </w:r>
    </w:p>
    <w:p>
      <w:pPr>
        <w:spacing w:after="0" w:line="94" w:lineRule="exact"/>
        <w:rPr>
          <w:rFonts w:ascii="Courier New" w:cs="Courier New" w:eastAsia="Courier New" w:hAnsi="Courier New"/>
          <w:sz w:val="18"/>
          <w:szCs w:val="18"/>
          <w:color w:val="auto"/>
        </w:rPr>
      </w:pPr>
    </w:p>
    <w:p>
      <w:pPr>
        <w:ind w:left="1300" w:right="200" w:hanging="442"/>
        <w:spacing w:after="0" w:line="264" w:lineRule="auto"/>
        <w:tabs>
          <w:tab w:leader="none" w:pos="13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Takeda’s FEIBA is a plasma-based composition of coagulation factors indicated for intravenous on-demand and prophylactic use in the treatment of individuals with Hemophilia A or B with inhibitors. FEIBA has been on the market for more than 30 years.</w:t>
      </w:r>
    </w:p>
    <w:p>
      <w:pPr>
        <w:spacing w:after="0" w:line="81" w:lineRule="exact"/>
        <w:rPr>
          <w:rFonts w:ascii="Courier New" w:cs="Courier New" w:eastAsia="Courier New" w:hAnsi="Courier New"/>
          <w:sz w:val="18"/>
          <w:szCs w:val="18"/>
          <w:color w:val="auto"/>
        </w:rPr>
      </w:pPr>
    </w:p>
    <w:p>
      <w:pPr>
        <w:jc w:val="both"/>
        <w:ind w:left="1300" w:right="120" w:hanging="442"/>
        <w:spacing w:after="0" w:line="256" w:lineRule="auto"/>
        <w:tabs>
          <w:tab w:leader="none" w:pos="13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Roche’s Hemlibra (emicizumab-kxwh), a bispecific Factor IXa-Factor X monoclonal antibody is indicated for routine SQ prophylaxis in adults and children with Hemophilia A with a Factor VIII inhibitor. Emicizumab received approval from the FDA in 2017. Emicizumab cannot treat episodic bleeding.</w:t>
      </w:r>
    </w:p>
    <w:p>
      <w:pPr>
        <w:spacing w:after="0" w:line="91" w:lineRule="exact"/>
        <w:rPr>
          <w:rFonts w:ascii="Courier New" w:cs="Courier New" w:eastAsia="Courier New" w:hAnsi="Courier New"/>
          <w:sz w:val="18"/>
          <w:szCs w:val="18"/>
          <w:color w:val="auto"/>
        </w:rPr>
      </w:pPr>
    </w:p>
    <w:p>
      <w:pPr>
        <w:ind w:left="1300" w:right="220" w:hanging="442"/>
        <w:spacing w:after="0" w:line="264" w:lineRule="auto"/>
        <w:tabs>
          <w:tab w:leader="none" w:pos="13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HEMA Biologics’ SEVENFACT is an intravenous recombinant Factor VIIa indicated for treatment of bleeding episodes in individuals with Hemophilia A or B with or without an inhibitor to Factor VIII or Factor IX approved in 2020.</w:t>
      </w:r>
    </w:p>
    <w:p>
      <w:pPr>
        <w:spacing w:after="0" w:line="176" w:lineRule="exact"/>
        <w:rPr>
          <w:rFonts w:ascii="Courier New" w:cs="Courier New" w:eastAsia="Courier New" w:hAnsi="Courier New"/>
          <w:sz w:val="18"/>
          <w:szCs w:val="18"/>
          <w:color w:val="auto"/>
        </w:rPr>
      </w:pPr>
    </w:p>
    <w:p>
      <w:pPr>
        <w:ind w:left="1300" w:right="320" w:hanging="442"/>
        <w:spacing w:after="0" w:line="264" w:lineRule="auto"/>
        <w:tabs>
          <w:tab w:leader="none" w:pos="1300" w:val="left"/>
        </w:tabs>
        <w:numPr>
          <w:ilvl w:val="0"/>
          <w:numId w:val="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addition to currently approved products, several other companies including Novo Nordisk, Pfizer, Genzyme, Hemab and others are developing SQ agents for the treatment of rare bleeding disorders using a variety of technologies.</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Factor IX Competition</w:t>
      </w:r>
    </w:p>
    <w:p>
      <w:pPr>
        <w:spacing w:after="0" w:line="121" w:lineRule="exact"/>
        <w:rPr>
          <w:sz w:val="20"/>
          <w:szCs w:val="20"/>
          <w:color w:val="auto"/>
        </w:rPr>
      </w:pPr>
    </w:p>
    <w:p>
      <w:pPr>
        <w:ind w:left="1300" w:right="200" w:hanging="442"/>
        <w:spacing w:after="0" w:line="264" w:lineRule="auto"/>
        <w:tabs>
          <w:tab w:leader="none" w:pos="1300" w:val="left"/>
        </w:tabs>
        <w:numPr>
          <w:ilvl w:val="0"/>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BeneFIX, a recombinant Factor IX indicated for treatment of individuals with Hemophilia B, was approved in 1997 and is marketed by Pfizer.</w:t>
      </w:r>
    </w:p>
    <w:p>
      <w:pPr>
        <w:spacing w:after="0" w:line="68" w:lineRule="exact"/>
        <w:rPr>
          <w:rFonts w:ascii="Courier New" w:cs="Courier New" w:eastAsia="Courier New" w:hAnsi="Courier New"/>
          <w:sz w:val="18"/>
          <w:szCs w:val="18"/>
          <w:color w:val="auto"/>
        </w:rPr>
      </w:pPr>
    </w:p>
    <w:p>
      <w:pPr>
        <w:ind w:left="1300" w:right="140" w:hanging="442"/>
        <w:spacing w:after="0" w:line="254" w:lineRule="auto"/>
        <w:tabs>
          <w:tab w:leader="none" w:pos="1300" w:val="left"/>
        </w:tabs>
        <w:numPr>
          <w:ilvl w:val="0"/>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Alprolix, a Factor IX-Fc fusion product was approved in 2014 and is marketed by Sanofi Aventis and Swedish Orphan Biovitrum (“SOBI”) in Europe, Russia, North Africa and the Middle East. Idelvion, a Factor IX-albumin fusion product marketed by CSL Behring was approved by the FDA in 2016. Idelvion is approved for weekly dosing for adolescents and adults and bi-weekly at a higher dose for those same patients if well controlled on the original regimen. It is approved for weekly in patients &lt;12 years of age.</w:t>
      </w:r>
    </w:p>
    <w:p>
      <w:pPr>
        <w:spacing w:after="0" w:line="79" w:lineRule="exact"/>
        <w:rPr>
          <w:rFonts w:ascii="Courier New" w:cs="Courier New" w:eastAsia="Courier New" w:hAnsi="Courier New"/>
          <w:sz w:val="18"/>
          <w:szCs w:val="18"/>
          <w:color w:val="auto"/>
        </w:rPr>
      </w:pPr>
    </w:p>
    <w:p>
      <w:pPr>
        <w:jc w:val="both"/>
        <w:ind w:left="1300" w:right="760" w:hanging="442"/>
        <w:spacing w:after="0" w:line="256" w:lineRule="auto"/>
        <w:tabs>
          <w:tab w:leader="none" w:pos="1300" w:val="left"/>
        </w:tabs>
        <w:numPr>
          <w:ilvl w:val="0"/>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Novo Nordisk’s glycopegylated-Factor IX product Rebinyn® was approved by the FDA in 2017 but is not indicated for routine prophylaxis in the U.S. Rebinyn is approved for on-demand treatment and control of bleeding episodes as well as Perioperative management of bleeding.</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Factor IX Gene Therapy Competition</w:t>
      </w:r>
    </w:p>
    <w:p>
      <w:pPr>
        <w:spacing w:after="0" w:line="121" w:lineRule="exact"/>
        <w:rPr>
          <w:sz w:val="20"/>
          <w:szCs w:val="20"/>
          <w:color w:val="auto"/>
        </w:rPr>
      </w:pPr>
    </w:p>
    <w:p>
      <w:pPr>
        <w:ind w:left="1300" w:right="80" w:hanging="442"/>
        <w:spacing w:after="0" w:line="264" w:lineRule="auto"/>
        <w:tabs>
          <w:tab w:leader="none" w:pos="130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While there are no currently approved Factor IX gene therapy treatments for Hemophilia B, several companies, are developing Factor IX gene therapy treatments in clinical studies with the Padua FIX variant including UniQure/CSL, Spark/Pfizer and Freeline.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commercial opportunity in different indications could be reduced or eliminated if our competitors develop and market products that are safer, more effective, more convenient to use, or less expensive to use than our products. Furthermore, if competitors gain FDA approval faster than we do, we may be unable to establish a strong market presence or to gain market share. The key competitive factors affecting the success of all our product candidates, if approved, are likely to be their efficacy, safety, convenience, price, the level of generic competition, and the availability of reimbursement from government and other third-party payors.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broad intellectual property portfolio including patents and patent applications covering the identification, selection, optimization, and manufacture of human proteases, the composition of matter and methods of use of our product candidates and related technology, and other inventions that are important to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right="20"/>
        <w:spacing w:after="0" w:line="266" w:lineRule="auto"/>
        <w:rPr>
          <w:sz w:val="20"/>
          <w:szCs w:val="20"/>
          <w:color w:val="auto"/>
        </w:rPr>
      </w:pPr>
      <w:r>
        <w:rPr>
          <w:rFonts w:ascii="Times New Roman" w:cs="Times New Roman" w:eastAsia="Times New Roman" w:hAnsi="Times New Roman"/>
          <w:sz w:val="18"/>
          <w:szCs w:val="18"/>
          <w:color w:val="auto"/>
        </w:rPr>
        <w:t>We also rely on trade secrets relating to our proprietary technology platform and know-how, continuing technological innovation and in-licensing opportunities to develop, strengthen, and maintain our proprietary position in the field of human protease engineering. Our patent portfolio as of December 31, 2021 is more fully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significantly on our ability to:</w:t>
      </w:r>
    </w:p>
    <w:p>
      <w:pPr>
        <w:spacing w:after="0" w:line="117" w:lineRule="exact"/>
        <w:rPr>
          <w:sz w:val="20"/>
          <w:szCs w:val="20"/>
          <w:color w:val="auto"/>
        </w:rPr>
      </w:pPr>
    </w:p>
    <w:p>
      <w:pPr>
        <w:ind w:left="680" w:right="400" w:hanging="335"/>
        <w:spacing w:after="0" w:line="26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other proprietary protection for commercially important technology, inventions and know-how related to our business;</w:t>
      </w:r>
    </w:p>
    <w:p>
      <w:pPr>
        <w:ind w:left="680" w:hanging="335"/>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and enforce our patents;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licenses to use intellectual property owned by third parties; and</w:t>
      </w:r>
    </w:p>
    <w:p>
      <w:pPr>
        <w:spacing w:after="0" w:line="9" w:lineRule="exact"/>
        <w:rPr>
          <w:rFonts w:ascii="Times New Roman" w:cs="Times New Roman" w:eastAsia="Times New Roman" w:hAnsi="Times New Roman"/>
          <w:sz w:val="18"/>
          <w:szCs w:val="18"/>
          <w:color w:val="auto"/>
        </w:rPr>
      </w:pPr>
    </w:p>
    <w:p>
      <w:pPr>
        <w:ind w:left="680" w:right="260" w:hanging="335"/>
        <w:spacing w:after="0" w:line="26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confidentiality of our trade secrets and operate without infringing the valid and enforceable patents and other proprietary rights of third parties.</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 third-party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may be third party patents or patent applications with claims to compositions of matter,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infringe.There is a patent family pending in the U.S. in which claims that may read on MarzAA have been filed. We, however, do not believe such claims are patentable. If they were to issue, we would take appropriate action to challenge their enforceability and/or validity. We are also aware of additional patents that have issued in the United States and Europe that have claims related to Factor VII. We do not believe that MarzAA does or will infringe any valid claims in such patents.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and since publication of discoveries in the scientific or patent literature often lags actual discoveries, we cannot be certain of the priority of inventions covered by pending patent applications. Moreover, we may have to participate in interference proceedings declared by the United States Patent and Trademark Office, or USPTO, or a foreign patent office to determine priority of invention or in post-grant challenge proceedings, such as oppositions, that challenge priority of invention or other features of patentability. Such proceedings could result in substantial cost, even if the eventual outcome is favorable to us.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our patents and applications were internally developed and assigned to us, except for two granted South Korean patents that are co-owned. Members of the family directed to screening methods (4 patents, including 2 of the issued U.S. patents) are jointly owned with the Torrey Pines Institute for Molecular Studies, which licensed its interest to us. As of December 31, 2021, our current patents and patent applications include:</w:t>
      </w:r>
    </w:p>
    <w:p>
      <w:pPr>
        <w:spacing w:after="0" w:line="68" w:lineRule="exact"/>
        <w:rPr>
          <w:sz w:val="20"/>
          <w:szCs w:val="20"/>
          <w:color w:val="auto"/>
        </w:rPr>
      </w:pPr>
    </w:p>
    <w:p>
      <w:pPr>
        <w:ind w:left="1300" w:right="380" w:hanging="44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issued patents, including 4 issued U.S. patents, and 10 patent applications, including 3 pending U.S. patent applications, covering modified Factor VII polypeptides, including our lead product candidate,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4" w:name="page15"/>
    <w:bookmarkEnd w:id="14"/>
    <w:p>
      <w:pPr>
        <w:ind w:left="1300" w:right="100"/>
        <w:spacing w:after="0" w:line="312" w:lineRule="auto"/>
        <w:rPr>
          <w:sz w:val="20"/>
          <w:szCs w:val="20"/>
          <w:color w:val="auto"/>
        </w:rPr>
      </w:pPr>
      <w:r>
        <w:rPr>
          <w:rFonts w:ascii="Times New Roman" w:cs="Times New Roman" w:eastAsia="Times New Roman" w:hAnsi="Times New Roman"/>
          <w:sz w:val="17"/>
          <w:szCs w:val="17"/>
          <w:color w:val="auto"/>
        </w:rPr>
        <w:t>MarzAA, and methods of production and use of modified Factor VII polypeptides. The U.S. patents, with patent term adjustment, expire in 2029 and 2031. The pending applications, if granted, are expected to expire in 2029 and 2040. The foreign patents expire in 2029.</w:t>
      </w:r>
    </w:p>
    <w:p>
      <w:pPr>
        <w:spacing w:after="0" w:line="32" w:lineRule="exact"/>
        <w:rPr>
          <w:sz w:val="20"/>
          <w:szCs w:val="20"/>
          <w:color w:val="auto"/>
        </w:rPr>
      </w:pPr>
    </w:p>
    <w:p>
      <w:pPr>
        <w:ind w:left="1300" w:right="40" w:hanging="442"/>
        <w:spacing w:after="0" w:line="25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patents, including 4 issued U.S. patents, and 7 patent applications, including 2 U.S. patent applications, covering modified Factor IX polypeptides, such as our clinical candidate DalcA, nucleic acid molecules encoding modified Factor IX polypeptides, therapeutic uses, and a provisional application directed to formulations. The U.S. patents and patent applications, including patent term adjustment, expire, or are expected to expire, respectively, in 2030-2031 and 2038, and the foreign patents and patent applications, if granted, expire, or are expected to expire, respectively, in 2031. The provisional application directed to formulations, if when filed as a utility patent, and if issued, would expire in 2041, or later if there are patent term adjustments.</w:t>
      </w:r>
    </w:p>
    <w:p>
      <w:pPr>
        <w:spacing w:after="0" w:line="79" w:lineRule="exact"/>
        <w:rPr>
          <w:rFonts w:ascii="Times New Roman" w:cs="Times New Roman" w:eastAsia="Times New Roman" w:hAnsi="Times New Roman"/>
          <w:sz w:val="18"/>
          <w:szCs w:val="18"/>
          <w:color w:val="auto"/>
        </w:rPr>
      </w:pPr>
    </w:p>
    <w:p>
      <w:pPr>
        <w:ind w:left="1300" w:right="440" w:hanging="442"/>
        <w:spacing w:after="0" w:line="312" w:lineRule="auto"/>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PCT patent application filed and 1 U.S. patent application in progress, covering adeno-associated viral vectors that have increased tropism for hepatocytes and encode modified factor IX polypeptides. The applications, if granted, are expected to expire in 2040.</w:t>
      </w:r>
    </w:p>
    <w:p>
      <w:pPr>
        <w:spacing w:after="0" w:line="31" w:lineRule="exact"/>
        <w:rPr>
          <w:rFonts w:ascii="Times New Roman" w:cs="Times New Roman" w:eastAsia="Times New Roman" w:hAnsi="Times New Roman"/>
          <w:sz w:val="17"/>
          <w:szCs w:val="17"/>
          <w:color w:val="auto"/>
        </w:rPr>
      </w:pPr>
    </w:p>
    <w:p>
      <w:pPr>
        <w:ind w:left="1300" w:right="320" w:hanging="442"/>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patents, including 7 issued U.S. patents, and 59 patent applications, including 3 U.S. patent applications, covering novel proteases, nucleic acid molecules encoding novel proteases, or therapeutic uses. The U.S. patents and patent applications, including patent term adjustment, expire, or are expected to expire, respectively in 2025-2029 and 2038-2041, and the foreign patents and foreign patent applications, if granted, expire, or are expected to expire, respectively, in 2025-2027 and 2038-2039.</w:t>
      </w:r>
    </w:p>
    <w:p>
      <w:pPr>
        <w:spacing w:after="0" w:line="71" w:lineRule="exact"/>
        <w:rPr>
          <w:rFonts w:ascii="Times New Roman" w:cs="Times New Roman" w:eastAsia="Times New Roman" w:hAnsi="Times New Roman"/>
          <w:sz w:val="18"/>
          <w:szCs w:val="18"/>
          <w:color w:val="auto"/>
        </w:rPr>
      </w:pPr>
    </w:p>
    <w:p>
      <w:pPr>
        <w:ind w:left="1300" w:right="320" w:hanging="442"/>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patent applications, including 1 non-provisional U.S. patent application, 3 provisional U.S. patent applications, and 3 foreign patent applications covering CB 4332 and next-generation engineered CFI molecules. The U.S. patent applications and foreign patent applications , if pursued and granted, are expected to expire in 2041-2042. The foreign patent applications, if granted, are expected to expire in 2041.</w:t>
      </w:r>
    </w:p>
    <w:p>
      <w:pPr>
        <w:spacing w:after="0" w:line="71" w:lineRule="exact"/>
        <w:rPr>
          <w:rFonts w:ascii="Times New Roman" w:cs="Times New Roman" w:eastAsia="Times New Roman" w:hAnsi="Times New Roman"/>
          <w:sz w:val="18"/>
          <w:szCs w:val="18"/>
          <w:color w:val="auto"/>
        </w:rPr>
      </w:pPr>
    </w:p>
    <w:p>
      <w:pPr>
        <w:jc w:val="both"/>
        <w:ind w:left="1300" w:right="320" w:hanging="442"/>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provisional U.S. patent applications covering modified Factor B proteases, if pursued and granted, are expected to expire in 2042. 2 provisional U.S. patent applications covering other complement targeting proteases, if pursued and granted, are expected to expire in 2042.</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 for individual patents depends upon the legal term for patents in the countries in which they are granted. In most countries, including the United States, the patent term is 20 years from the earliest claimed filing date of a non-provisional patent application in that country or the international filing date.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The regulatory review period that occurs after the patent to be extended was issued is eligible to be counted for extension. The extension is calculated as one-half of the time of the testing phase added to time in the approval phase. The testing phase is the period between the effective date of an investigational product exemption (Investigational New Drug Application) and the initial submission of the marketing application (New Drug Application or Biologic License Application). The approval phase is the period between the submission and approval of the marketing application. Extensions can be reduced by any time that the applicant did act not with due diligence as determined by the FDA.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future, to the extent our product candidates including MarzAA, DalcA, Anti-C3 and systemic complement proteases receive approval by the FDA or foreign regulatory authorities, we expect to apply for patent term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extensions on issued patents covering those products, depending upon the length of the clinical trials for each drug and other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team has in-depth knowledge on biologics development, manufacturing and CMC regulatory requirements. We do not have any manufacturing facilities and we currently rely, and expect to continue to rely, on third parties for the manufacture of our product candidates for clinical or commercial uses. We own or have rights to all intellectual property developed in such manufacturing development activities that are specifically related to our product candidates and have a royalty-free and perpetual license to use the intellectual property to the extent reasonably necessary to make our product candidates, including commercial manufacturing.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Substance manufacturing</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long-term development and manufacturing services agreement with AGC Biologics, Inc. (“AGC”). AGC has global manufacturing sites and we use their facilities in the U.S. and Europe for drug substance manufacturing of MarzAA, DalcA, and CB 2782-PEG. In November 2021, we provided notice of intent to terminate our agreements with AGC related to the manufacturing of MarzAA and incurred charges of $3.8 million to write-off prepaid manufacturing costs that will no longer be used for the development of MarzAA. Additionally we have development and manufacturing services agreements with Abzena (“Abzena”) at their San Diego facility for drug substance manufacturing of CB 4332.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Product manufacturing</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a long-term clinical supply services agreement with Catalent Indiana, LLC (“Catalent”). Catalent has facilities in the U.S. and Europe and conducts drug product development and manufacturing for MarzAA and DalcA. We also work with Symbiosis Pharmaceutical Services Limited on drug product manufacturing for MarzAA on a fee-for-services basis. Symbiosis has a facility in the United Kingdom. For drug product finish and fill services supporting the CB 4332 program, we are working with Integrity Bio (now part of Curia).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yet to establish a sales, marketing, or product distribution infrastructure for our product candidates, which are still in pre-clinical or clinical development. We may retain commercial rights for our product candidates in the United States. We have also granted ISU rights to commercialize DalcA in South Korea.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clinical-stage biopharmaceutical company that operates in the United States, we are subject to extensive regulation. Our engineered human protease products will be regulated as biological products. Biological products, including engineered human proteases, are subject to regulation under the Federal Food, Drug, and Cosmetic Act, or FD&amp;C Act, and the Public Health Service Act, or PHS Act, and other federal, state, local, and foreign statutes and regulations. The FD&amp;C Act and the PHS Act and their implementing regulations govern, among other things, the research, development, testing, manufacturing, quality control, approval, labeling, packaging, storage, record-keeping, promotion, advertising, distribution, post-approval monitoring and reporting, marketing and export and import of biological products.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FDA approval must be obtained before clinical testing of a biological product begins and before the marketing of biological products. The process of obtaining regulatory approvals and the subsequent compliance with federal, state, local, and foreign statutes and regulations require the expenditure of substantial time and financial resources. Failure to comply with the applicable U.S. requirements at any time during the product development, the approval process, or after product approval, may subject an applicant to administrative or judicial sanctions. FDA sanctions could include, among other actions, refusal to approve pending applications, withdrawal of an approval, a clinical hold, warning or untitled letters, product recalls or withdrawals from the market, product seizures, total or partial suspension of production or distribution injunctions, fines, refusals of government contracts, restitution, disgorgement or civil or criminal penalties.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US Biological Products Development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680" w:right="20" w:hanging="335"/>
        <w:spacing w:after="0" w:line="282" w:lineRule="auto"/>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680" w:right="280" w:hanging="335"/>
        <w:spacing w:after="0" w:line="266" w:lineRule="auto"/>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67" w:lineRule="exact"/>
        <w:rPr>
          <w:rFonts w:ascii="Times New Roman" w:cs="Times New Roman" w:eastAsia="Times New Roman" w:hAnsi="Times New Roman"/>
          <w:sz w:val="18"/>
          <w:szCs w:val="18"/>
          <w:color w:val="auto"/>
        </w:rPr>
      </w:pPr>
    </w:p>
    <w:p>
      <w:pPr>
        <w:ind w:left="680" w:right="240" w:hanging="335"/>
        <w:spacing w:after="0" w:line="282" w:lineRule="auto"/>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or BLA for marketing approval that includes substantial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680" w:right="160" w:hanging="335"/>
        <w:spacing w:after="0" w:line="261" w:lineRule="auto"/>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good manufacturing practices or GMP,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71"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 and</w:t>
      </w:r>
    </w:p>
    <w:p>
      <w:pPr>
        <w:spacing w:after="0" w:line="117"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including an engineered human protease,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clinical trial sponsor must submit the results of the preclinical tests, together with the manufacturing information, analytical data, any available clinical data or literature and a proposed clinical protocol, to the FDA as part of the IND. Some preclinical testing may continue even after an IND is submitted. The IND automatically becomes effective 30 days after receipt by the FDA, unless the FDA places the clinical study on a clinical hold within that 30-day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signed by each clinical trial subject or his or her legal representative and must monitor the clinical trial until completed. Clinical trials also may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680" w:right="40" w:hanging="335"/>
        <w:spacing w:after="0" w:line="26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product candidate is initially introduced into healthy human subjects and tested for safety. In the case of some products for severe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life-threatening diseases, especially when the product may be too inherently toxic to ethically administer to healthy volunteers, the initial human testing is often conducted in patients.</w:t>
      </w:r>
    </w:p>
    <w:p>
      <w:pPr>
        <w:spacing w:after="0" w:line="62" w:lineRule="exact"/>
        <w:rPr>
          <w:rFonts w:ascii="Times New Roman" w:cs="Times New Roman" w:eastAsia="Times New Roman" w:hAnsi="Times New Roman"/>
          <w:sz w:val="18"/>
          <w:szCs w:val="18"/>
          <w:color w:val="auto"/>
        </w:rPr>
      </w:pPr>
    </w:p>
    <w:p>
      <w:pPr>
        <w:ind w:left="680" w:right="220" w:hanging="335"/>
        <w:spacing w:after="0" w:line="28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The product candidate is evaluated in a limited patient population to identify possible adverse effects and safety risks, to preliminarily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the efficacy of the product for specific targeted diseases and to determine dosage tolerance, optimal dosage and dosing schedule.</w:t>
      </w:r>
    </w:p>
    <w:p>
      <w:pPr>
        <w:spacing w:after="0" w:line="46" w:lineRule="exact"/>
        <w:rPr>
          <w:rFonts w:ascii="Times New Roman" w:cs="Times New Roman" w:eastAsia="Times New Roman" w:hAnsi="Times New Roman"/>
          <w:sz w:val="18"/>
          <w:szCs w:val="18"/>
          <w:color w:val="auto"/>
        </w:rPr>
      </w:pPr>
    </w:p>
    <w:p>
      <w:pPr>
        <w:ind w:left="720" w:right="20" w:hanging="334"/>
        <w:spacing w:after="0" w:line="268" w:lineRule="auto"/>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candidate and provide an adequate basis for product labeling.</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most cases, the FDA requires two adequate and well-controlled Phase 3 clinical trials to demonstrate the efficacy of the drug. A single Phase 3 trial with other confirmatory evidence may be sufficient in instances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such as in rare or orphan diseases like hemophilia. In the case of hemophilia, almost all clinical trials are conducted as open-label single arm trials, in which both the researchers and participants know which treatment is being administered and there is no placebo or blinded portion of the trial because there are too few subjects available in these orphan populations to perform statistically powered placebo or active comparator trials. Endpoints for on-demand therapies are the number of treatments required to control bleeding episodes and for prophylaxis therapies are the calculated annualized bleeding rates. Bleeding rates during the trial are compared to historic bleeding rates for participating individuals. Patients are often studied for at least 50 treatment days to see if neutralizing anti-drug antibodies (inhibitors) develop.</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21st Century Cures Act, which was enacted on December 13, 2016, the manufacturer of an investigational drug for a serious or life-threatening disease is required to make available, such as by posting on its website, its policy on evaluating and responding to requests for expanded access to such investigational drug. This requirement applies on the later of 60 calendar days after the date of enactment of the law or the initiation of a Phase 2 or Phase 3 trial of the investigational drug.</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The FDA adjusts the PDUFA user fees on an annual basis. PDUFA also imposes an annual product fee for biological products and an annual establishment fee on facilities used to manufacture prescription biological products. Fee waivers or reductions are available in certain circumstances, including a waiver of the application fee for the first application filed by a small business. No user fees are assessed on BLAs for products designated as orphan drugs, unless the product also includes a non-orphan indication. MarzAA has been granted orphan drug designation for routine prophylaxis to prevent bleeding episodes in individuals with Hemophilia A and B with inhibitors and DalcA has received orphan designation for routine prophylaxis to prevent bleeding episodes for Hemophilia B patients.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Before approving a BLA, the FDA will generally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GMP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how we interpret the same data. If the agency decides not to approve the BLA in its present form, the FDA will issue a complete response letter that describes all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condition for approval. If a complete response letter is issued, the applicant may either resubmit the BLA, addressing all the deficiencies identified in the letter, or withdraw the application.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FDA has agreed to certain review goals under PDUFA and aims to complete its review of 90% of standard BLAs within ten months from filing and 90% of priority BLAs within six months from filing.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Designation, Accelerated Approval, Priority Review, Orphan Drug Designation, and Breakthrough Therapy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are several FDA programs intended to help facilitate the development of new drugs and biologics that meet certain criteria. Specifically, new drugs and biological products are eligible for Fast Track designation if they are intended to treat a serious or life- threatening condition and demonstrate the potential to address unmet medical needs for the condition. Fast Track designation applies to the combination of the product and the specific indication for which it is being studied. The sponsor of a new drug or biological product may request the FDA to designate the drug or biological product as a Fast Track product at any time during the clinical development of the product. Under a Fast Track designation,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FDA has granted Fast Track Designation for MarzAA for the treatment of episodic bleeding in subjects with Hemophilia A or B with inhibitors and for the treatment of subjects with Factor FVII deficiency (“FVIID”).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Review</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to facilitate the review.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Approval</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product that is being studied for safety and effectiveness in treating serious or life-threatening illnesses and provides meaningful therapeutic benefit over existing treatments may receive accelerated approval, which means that it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FDA approval for the disease for which it has such designation, the product is entitled to orphan product exclusivity, which means that the FDA may not approve any other applications to market the same drug for the same disease, except in limited circumstances, for seven years. These circumstances are an inability to supply the drug in sufficient quantities or a situation in which a new formulation of the drug has shown superior safety or efficacy or a major contribution to patient care. This exclusivity, however, could also block the approval of our product for seven years if a competitor obtains earlier approval of the same drug for the same indication.</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MarzAA has been granted orphan drug designation in the U.S. for routine prophylaxis to prevent bleeding episodes in individuals with Hemophilia A and B with inhibitors and for routine prophylaxis to prevent bleeding episodes in individuals with Hemophilia B with inhibitors in the E.U. DalcA has been granted orphan drug designation in the U.S. and the E.U. for routine prophylaxis to prevent bleeding episodes for Hemophilia B patients. MarzAA has also been granted orphan drug designation for the treatment of subjects with Factor FVII deficiency (“FVIID”).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Rare Pediatric Drug Designation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FDA programs intended to help facilitate the development of new drugs and biologics that meet certain criteria. Specifically, new drugs and biological products are eligible for rare pediatric disease designation if they treat a serious or life-threatening condition that affects less than 200,000 individuals in the U.S. per year and who are primarily less than 18 years of age. Under the FDA's rare pediatric disease designation program, the FDA may grant a priority review voucher to a sponsor who receives a product approval for a rare pediatric disease. In January 2022, CB 4332 was granted rare pediatric disease designation for Complement Factor I (“CFI”) deficiency (“CFID”).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Break Through Designation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product may also be eligible for receipt of a Breakthrough Therapy designation. The Breakthrough Therapy designation is intended to expedite the FDA’s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provides the same benefits as are available under the Fast Track program, as well as intensive FDA guidance on the product’s development program. Fast Track designation, priority review, accelerated approval and Breakthrough Therapy designation do not change the standards for approval, but they may expedite the development or approval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biological products include reporting of 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the results of all the manufacturer’s tests performed on the lot. In addition, the FDA conducts laboratory research related to the regulatory standards on the safety, purity, potency and effectiveness of biological products.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manufacturing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Exclusivity and U.S. Patent Term Restoration</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amended the PHS Act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accepting biosimilar applications for four years after an innovator biological product receives initial marketing approval and from approving biosimilar applications for 12 years after an innovator biological product receives initial marketing approval. As innovative biological products, we believe that our products would receive this data protection if the FDA approves them for marketing.</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that may apply to biological products approved in the United States. Pediatric exclusivity, if granted, adds six months to existing exclusivity periods, include the 4- and 12-year periods discussed. This six-month exclusivity, which runs from the end of other exclusivity protection, may be granted based on the voluntary completion of a pediatric trial in accordance with an FDA-issued “Written Request” for such a trial.</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if granted,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USPTO, in consultation with the FDA, reviews and approves the application for any patent term extension or restoration. In the future, we may intend to apply for restoration of patent term for one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our currently owned or licensed patents to add patent life beyond its current expiration date, depending on the expected length of the clinical trials and other factors involved in the filing of the relevant BLA.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(e.g.,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or HIPAA, and similar state laws, each as amended.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Our practices may not in all cases meet all the criteria for protection under a statutory exception or regulatory safe harbor.</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(“ACA” to a stricter standard such that a person or entity no longer needs to have actual knowledge of the statute or specific intent to violate it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our activities are potentially subject to federal and state consumer protection and unfair competition laws.</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privately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This is also true of Medicare reimbursement, where different vendors process payments, so that coverage by one vendor does not assure that all other vendors will provide coverage. Adequate third-party reimbursement may not be available to enable us to maintain price levels sufficient to realize an appropriate return on our investment in product development. In addition, the United States federal government position on matters related to drug pricing is evolving and uncertain, and any changes could have a material impact on drug pricing generally in the United States, including for our product candidates if approved.</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National Institute for Health and Care Excellence (NICE) in the United Kingdom also requires consideration of cost-benefit analysis.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the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its business. We cannot predict, however, how changes in these laws may affect its future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consider our ability to recruit, retain and motivate our employees to be critical to our success. 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principal of equal employment opportunity, meaning that they are made on the basis of individual skills, knowledge, abilities, job performance and other legitimate criteria and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we had 45 full-time employees. Of the full-time employees, as of such date, 25 employees were engaged in manufacturing and clinical development activities and 20 employees were engaged in finance, business development, facilities and general management. Of our employees as of December 31, 2021, 49%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were male and 51% were female. We have no collective bargaining agreements with our employees, and we have not experienced any work stoppages. We consider our relations with our employees to be good.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quarter ended March 31, 2022, we had voluntary employee resignations and implemented a reduction-in-force of 19 full-time employees, which we expect to be completed by April 30, 2022. Following these reductions, we expect to have 8 full-time employees.</w:t>
      </w:r>
    </w:p>
    <w:p>
      <w:pPr>
        <w:spacing w:after="0" w:line="1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aim to provide our employees with competitive salary and benefits that enable them to achieve a good quality of life and plan for the future. Our benefits are based on local norms and market preferences, but include all salary and social benefits required by local law (including paid time off for vacation and sick leave) and many additional benefits that go beyond legal requirements.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maintain and enhance the safety of our employees, we promote a culture of continuous improvement and individual accountability to provide safe workplaces. The safety of our employees has been a priority throughout our response to the COVID-19 pandemic. Our management team guided our operations in the processes and procedures to comply with applicable government-imposed health and safety-related operating restrictions, and to enhance the safety of our facilities to protect the health of our employees. The management team continues to operate, updating guidance as the pandemic has continued and the medical science and government guidance and orders have evolved. We continue to enforce COVID-19 health and safety protocols and have implemented protocols to address actual and suspected cases of COVID-19 and resulting contact tracing and quarantine requirements. Throughout the pandemic, we have been communicating regularly with our employees and monitoring their views on issues related to COVID-19 and the workplace as well as general levels of engagement. In addition, management has regularly updated our Board of Directors on our COVID-19 status and response, including with respect to employee safety.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Organization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commenced operations in 2002 and are a Delaware corporation. On August 20, 2015, we merged with Targacept, Inc. Our corporate headquarters are in South San Francisco, California. We conduct our research and development activities and general and administrative functions primarily from our South San Francisco, California location.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are available for free at www.catalystbiosciences.com as soon as reasonably practicable after they are electronically filed with or furnished to the SEC. They are also available for free on the SEC’s website at www.sec.gov. The information in or accessible through the SEC and our website are not incorporated into, and are not considered part of, this filing.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 includes the most significant factors that may adversely affect our business and operations. You should carefully consider the risks and uncertainties described below and all information contained in this Annual Report on Form 10-K before deciding to invest in our common stock. If any of the following risks actually occur, our business, financial condition, results of operations and growth prospects may be materially and adversely affected. In that event, the trading price of our common stock could decline, and you could lose all or part of your investment.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11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Below please find a summary of the principal risks we face. These risks are discussed more fully below.</w:t>
      </w:r>
    </w:p>
    <w:p>
      <w:pPr>
        <w:spacing w:after="0" w:line="50"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our inception and are expected to continue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able to identify or execute on any strategic alternatives.</w:t>
      </w:r>
    </w:p>
    <w:p>
      <w:pPr>
        <w:spacing w:after="0" w:line="117" w:lineRule="exact"/>
        <w:rPr>
          <w:rFonts w:ascii="Times New Roman" w:cs="Times New Roman" w:eastAsia="Times New Roman" w:hAnsi="Times New Roman"/>
          <w:sz w:val="18"/>
          <w:szCs w:val="18"/>
          <w:color w:val="auto"/>
        </w:rPr>
      </w:pPr>
    </w:p>
    <w:p>
      <w:pPr>
        <w:ind w:left="880" w:right="22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need additional capital to continue product development and may not be able to do so. If we are unable to raise sufficient capital, we will be forced to delay, reduce or eliminate product development programs.</w:t>
      </w:r>
    </w:p>
    <w:p>
      <w:pPr>
        <w:spacing w:after="0" w:line="50" w:lineRule="exact"/>
        <w:rPr>
          <w:rFonts w:ascii="Times New Roman" w:cs="Times New Roman" w:eastAsia="Times New Roman" w:hAnsi="Times New Roman"/>
          <w:sz w:val="18"/>
          <w:szCs w:val="18"/>
          <w:color w:val="auto"/>
        </w:rPr>
      </w:pPr>
    </w:p>
    <w:p>
      <w:pPr>
        <w:ind w:left="880" w:right="8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Raising additional funds by issuing securities or through licensing arrangements may cause dilution to stockholders, restrict our operations or require us to relinquish proprietary rights.</w:t>
      </w:r>
    </w:p>
    <w:p>
      <w:pPr>
        <w:spacing w:after="0" w:line="50" w:lineRule="exact"/>
        <w:rPr>
          <w:rFonts w:ascii="Times New Roman" w:cs="Times New Roman" w:eastAsia="Times New Roman" w:hAnsi="Times New Roman"/>
          <w:sz w:val="18"/>
          <w:szCs w:val="18"/>
          <w:color w:val="auto"/>
        </w:rPr>
      </w:pPr>
    </w:p>
    <w:p>
      <w:pPr>
        <w:ind w:left="880" w:right="10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no history of obtaining regulatory approval or commercialization of pharmaceutical products, which may make it difficult to evaluate the Company’s prospects.</w:t>
      </w:r>
    </w:p>
    <w:p>
      <w:pPr>
        <w:spacing w:after="0" w:line="5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outbreak of the novel coronavirus disease, COVID-19, could adversely impact our business, including our preclinical studies.</w:t>
      </w:r>
    </w:p>
    <w:p>
      <w:pPr>
        <w:spacing w:after="0" w:line="117" w:lineRule="exact"/>
        <w:rPr>
          <w:rFonts w:ascii="Times New Roman" w:cs="Times New Roman" w:eastAsia="Times New Roman" w:hAnsi="Times New Roman"/>
          <w:sz w:val="18"/>
          <w:szCs w:val="18"/>
          <w:color w:val="auto"/>
        </w:rPr>
      </w:pPr>
    </w:p>
    <w:p>
      <w:pPr>
        <w:ind w:left="880" w:right="240" w:hanging="440"/>
        <w:spacing w:after="0" w:line="290" w:lineRule="auto"/>
        <w:tabs>
          <w:tab w:leader="none" w:pos="8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CB 2782-PEG and CB 4332, are in the early stages of development and their commercial viability remains subject to current and future preclinical studies, clinical trials, regulatory approvals and the risks generally inherent in the development of a pharmaceutical product candidate. If we are unable to successfully advance or develop our complement product candidates, our business may be materially harmed.</w:t>
      </w:r>
    </w:p>
    <w:p>
      <w:pPr>
        <w:spacing w:after="0" w:line="47"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CB 2782-PEG, CB 4332 and all of our other product candidates will require additional clinical testing before they can be sold.</w:t>
      </w:r>
    </w:p>
    <w:p>
      <w:pPr>
        <w:spacing w:after="0" w:line="117" w:lineRule="exact"/>
        <w:rPr>
          <w:rFonts w:ascii="Times New Roman" w:cs="Times New Roman" w:eastAsia="Times New Roman" w:hAnsi="Times New Roman"/>
          <w:sz w:val="18"/>
          <w:szCs w:val="18"/>
          <w:color w:val="auto"/>
        </w:rPr>
      </w:pPr>
    </w:p>
    <w:p>
      <w:pPr>
        <w:ind w:left="880" w:right="22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experience delays or difficulties in the commencement of clinical trials or patient enrollment in clinical trials, our regulatory approvals could be delayed or prevented.</w:t>
      </w:r>
    </w:p>
    <w:p>
      <w:pPr>
        <w:spacing w:after="0" w:line="50" w:lineRule="exact"/>
        <w:rPr>
          <w:rFonts w:ascii="Times New Roman" w:cs="Times New Roman" w:eastAsia="Times New Roman" w:hAnsi="Times New Roman"/>
          <w:sz w:val="18"/>
          <w:szCs w:val="18"/>
          <w:color w:val="auto"/>
        </w:rPr>
      </w:pPr>
    </w:p>
    <w:p>
      <w:pPr>
        <w:ind w:left="880" w:right="42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operations of our third-party manufacturers may be requisitioned, diverted or allocated by U.S. or foreign government orders such as under emergency, disaster and civil defense declarations in connection with the COVID-19 pandemic or otherwise.</w:t>
      </w:r>
    </w:p>
    <w:p>
      <w:pPr>
        <w:spacing w:after="0" w:line="50" w:lineRule="exact"/>
        <w:rPr>
          <w:rFonts w:ascii="Times New Roman" w:cs="Times New Roman" w:eastAsia="Times New Roman" w:hAnsi="Times New Roman"/>
          <w:sz w:val="18"/>
          <w:szCs w:val="18"/>
          <w:color w:val="auto"/>
        </w:rPr>
      </w:pPr>
    </w:p>
    <w:p>
      <w:pPr>
        <w:ind w:left="880" w:right="40" w:hanging="440"/>
        <w:spacing w:after="0" w:line="267"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coronavirus disease, COVID-19, and the conflict between Russia and Ukraine, may impact our third-party supply of the raw materials and components needed for our product candidates, which increases the risk that we will not have sufficient quantities of such product candidates or products or such quantities at an acceptable cost, which could delay, prevent or impair our development efforts.</w:t>
      </w:r>
    </w:p>
    <w:p>
      <w:pPr>
        <w:spacing w:after="0" w:line="6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complement product candidates may cause the generation of neutralizing antibodies, which could prevent their further development.</w:t>
      </w:r>
    </w:p>
    <w:p>
      <w:pPr>
        <w:spacing w:after="0" w:line="117" w:lineRule="exact"/>
        <w:rPr>
          <w:rFonts w:ascii="Times New Roman" w:cs="Times New Roman" w:eastAsia="Times New Roman" w:hAnsi="Times New Roman"/>
          <w:sz w:val="18"/>
          <w:szCs w:val="18"/>
          <w:color w:val="auto"/>
        </w:rPr>
      </w:pPr>
    </w:p>
    <w:p>
      <w:pPr>
        <w:ind w:left="880" w:right="340" w:hanging="440"/>
        <w:spacing w:after="0" w:line="284"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successful in our efforts to build a pipeline of additional product candidates.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left="440" w:right="260" w:hanging="440"/>
        <w:spacing w:after="0" w:line="267"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from preclinical or early stage clinical trials may not be confirmed in later trials, and if serious adverse or unacceptable side effects are identified during the development of our product candidates, we may need to abandon or limit our development of some of our product candidates.</w:t>
      </w:r>
    </w:p>
    <w:p>
      <w:pPr>
        <w:spacing w:after="0" w:line="6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Fast Track designation by the FDA may not actually lead to a faster development or regulatory review or approval process.</w:t>
      </w:r>
    </w:p>
    <w:p>
      <w:pPr>
        <w:spacing w:after="0" w:line="117" w:lineRule="exact"/>
        <w:rPr>
          <w:rFonts w:ascii="Times New Roman" w:cs="Times New Roman" w:eastAsia="Times New Roman" w:hAnsi="Times New Roman"/>
          <w:sz w:val="18"/>
          <w:szCs w:val="18"/>
          <w:color w:val="auto"/>
        </w:rPr>
      </w:pPr>
    </w:p>
    <w:p>
      <w:pPr>
        <w:ind w:left="440" w:right="66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50" w:lineRule="exact"/>
        <w:rPr>
          <w:rFonts w:ascii="Times New Roman" w:cs="Times New Roman" w:eastAsia="Times New Roman" w:hAnsi="Times New Roman"/>
          <w:sz w:val="18"/>
          <w:szCs w:val="18"/>
          <w:color w:val="auto"/>
        </w:rPr>
      </w:pPr>
    </w:p>
    <w:p>
      <w:pPr>
        <w:ind w:left="440" w:right="2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expect to seek to establish additional collaborations, and, if we are not able to establish them on commercially reasonable terms, we may have to alter our development and commercialization plans.</w:t>
      </w:r>
    </w:p>
    <w:p>
      <w:pPr>
        <w:spacing w:after="0" w:line="50" w:lineRule="exact"/>
        <w:rPr>
          <w:rFonts w:ascii="Times New Roman" w:cs="Times New Roman" w:eastAsia="Times New Roman" w:hAnsi="Times New Roman"/>
          <w:sz w:val="18"/>
          <w:szCs w:val="18"/>
          <w:color w:val="auto"/>
        </w:rPr>
      </w:pPr>
    </w:p>
    <w:p>
      <w:pPr>
        <w:ind w:left="440" w:right="120" w:hanging="440"/>
        <w:spacing w:after="0" w:line="261"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contract with third parties for the manufacture of our product candidates for preclinical testing and expect to continue to do so for clinical testing and commercialization. This reliance on third parties increases the risk that we will not have sufficient quantities or quality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44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many manufacturing risks, any of which could substantially increase our costs and limit supply of our product candidates and any future products.</w:t>
      </w:r>
    </w:p>
    <w:p>
      <w:pPr>
        <w:spacing w:after="0" w:line="50" w:lineRule="exact"/>
        <w:rPr>
          <w:rFonts w:ascii="Times New Roman" w:cs="Times New Roman" w:eastAsia="Times New Roman" w:hAnsi="Times New Roman"/>
          <w:sz w:val="18"/>
          <w:szCs w:val="18"/>
          <w:color w:val="auto"/>
        </w:rPr>
      </w:pPr>
    </w:p>
    <w:p>
      <w:pPr>
        <w:ind w:left="440" w:right="30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and our contract manufacturers will be subject to significant regulation with respect to manufacturing our products. The manufacturing facilities on which we will rely may not continue to meet regulatory requirements and have limited capacity.</w:t>
      </w:r>
    </w:p>
    <w:p>
      <w:pPr>
        <w:spacing w:after="0" w:line="50" w:lineRule="exact"/>
        <w:rPr>
          <w:rFonts w:ascii="Times New Roman" w:cs="Times New Roman" w:eastAsia="Times New Roman" w:hAnsi="Times New Roman"/>
          <w:sz w:val="18"/>
          <w:szCs w:val="18"/>
          <w:color w:val="auto"/>
        </w:rPr>
      </w:pPr>
    </w:p>
    <w:p>
      <w:pPr>
        <w:ind w:left="440" w:right="30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third parties to conduct certain aspects of our preclinical studies and any clinical trials, and those third parties may not perform satisfactorily, including failing to meet deadlines for the completion of such tasks or trials.</w:t>
      </w:r>
    </w:p>
    <w:p>
      <w:pPr>
        <w:spacing w:after="0" w:line="50"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440" w:right="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0" w:lineRule="exact"/>
        <w:rPr>
          <w:rFonts w:ascii="Times New Roman" w:cs="Times New Roman" w:eastAsia="Times New Roman" w:hAnsi="Times New Roman"/>
          <w:sz w:val="18"/>
          <w:szCs w:val="18"/>
          <w:color w:val="auto"/>
        </w:rPr>
      </w:pPr>
    </w:p>
    <w:p>
      <w:pPr>
        <w:ind w:left="440" w:right="1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continue to incur significant costs as a result of operating as a public company, and our management is required to devote substantial time to compliance initiatives.</w:t>
      </w:r>
    </w:p>
    <w:p>
      <w:pPr>
        <w:spacing w:after="0" w:line="50" w:lineRule="exact"/>
        <w:rPr>
          <w:rFonts w:ascii="Times New Roman" w:cs="Times New Roman" w:eastAsia="Times New Roman" w:hAnsi="Times New Roman"/>
          <w:sz w:val="18"/>
          <w:szCs w:val="18"/>
          <w:color w:val="auto"/>
        </w:rPr>
      </w:pPr>
    </w:p>
    <w:p>
      <w:pPr>
        <w:ind w:left="440" w:right="8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0" w:lineRule="exact"/>
        <w:rPr>
          <w:rFonts w:ascii="Times New Roman" w:cs="Times New Roman" w:eastAsia="Times New Roman" w:hAnsi="Times New Roman"/>
          <w:sz w:val="18"/>
          <w:szCs w:val="18"/>
          <w:color w:val="auto"/>
        </w:rPr>
      </w:pPr>
    </w:p>
    <w:p>
      <w:pPr>
        <w:ind w:left="440" w:right="38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protect or enforce intellectual property rights related to our product candidates, we may not be able to compete effectively in our markets.</w:t>
      </w:r>
    </w:p>
    <w:p>
      <w:pPr>
        <w:spacing w:after="0" w:line="50" w:lineRule="exact"/>
        <w:rPr>
          <w:rFonts w:ascii="Times New Roman" w:cs="Times New Roman" w:eastAsia="Times New Roman" w:hAnsi="Times New Roman"/>
          <w:sz w:val="18"/>
          <w:szCs w:val="18"/>
          <w:color w:val="auto"/>
        </w:rPr>
      </w:pPr>
    </w:p>
    <w:p>
      <w:pPr>
        <w:ind w:left="440" w:right="1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Third-party claims of intellectual property infringement or challenging the inventorship or ownership of our patents may prevent or delay our development and commercialization efforts.</w:t>
      </w:r>
    </w:p>
    <w:p>
      <w:pPr>
        <w:spacing w:after="0" w:line="50"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be involved in lawsuits to protect or enforce our patents.</w:t>
      </w:r>
    </w:p>
    <w:p>
      <w:pPr>
        <w:spacing w:after="0" w:line="117"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 litigation could cause us to spend substantial resources and distract our personnel from their normal responsibilities.</w:t>
      </w:r>
    </w:p>
    <w:p>
      <w:pPr>
        <w:spacing w:after="0" w:line="117" w:lineRule="exact"/>
        <w:rPr>
          <w:rFonts w:ascii="Times New Roman" w:cs="Times New Roman" w:eastAsia="Times New Roman" w:hAnsi="Times New Roman"/>
          <w:sz w:val="18"/>
          <w:szCs w:val="18"/>
          <w:color w:val="auto"/>
        </w:rPr>
      </w:pPr>
    </w:p>
    <w:p>
      <w:pPr>
        <w:ind w:left="440" w:right="4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need to license certain intellectual property from third parties, and such licenses may not be available or may not be available on commercially reasonable terms.</w:t>
      </w:r>
    </w:p>
    <w:p>
      <w:pPr>
        <w:spacing w:after="0" w:line="50" w:lineRule="exact"/>
        <w:rPr>
          <w:rFonts w:ascii="Times New Roman" w:cs="Times New Roman" w:eastAsia="Times New Roman" w:hAnsi="Times New Roman"/>
          <w:sz w:val="18"/>
          <w:szCs w:val="18"/>
          <w:color w:val="auto"/>
        </w:rPr>
      </w:pPr>
    </w:p>
    <w:p>
      <w:pPr>
        <w:ind w:left="440" w:right="20" w:hanging="440"/>
        <w:spacing w:after="0" w:line="284"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659" w:right="359" w:bottom="1440" w:gutter="0" w:footer="0" w:header="0"/>
        </w:sectPr>
      </w:pPr>
    </w:p>
    <w:bookmarkStart w:id="29" w:name="page30"/>
    <w:bookmarkEnd w:id="29"/>
    <w:p>
      <w:pPr>
        <w:ind w:left="440" w:hanging="440"/>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FDA may disagree with our regulatory plan and we may fail to obtain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440" w:hanging="440"/>
        <w:spacing w:after="0" w:line="267"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results of operations may be adversely affected by current and potential future healthcare legislative and regulatory actions.</w:t>
      </w:r>
    </w:p>
    <w:p>
      <w:pPr>
        <w:spacing w:after="0" w:line="117" w:lineRule="exact"/>
        <w:rPr>
          <w:rFonts w:ascii="Times New Roman" w:cs="Times New Roman" w:eastAsia="Times New Roman" w:hAnsi="Times New Roman"/>
          <w:sz w:val="18"/>
          <w:szCs w:val="18"/>
          <w:color w:val="auto"/>
        </w:rPr>
      </w:pPr>
    </w:p>
    <w:p>
      <w:pPr>
        <w:jc w:val="both"/>
        <w:ind w:left="440" w:right="140" w:hanging="440"/>
        <w:spacing w:after="0" w:line="267"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evolving privacy and data protection laws, including HIPAA and the EU General Data Protection Regulation (“GDPR”). If we fail to protect personal information or comply with existing or future data protection regulations, our business, financial condition, results of operations and prospects may be materially adversely affected.</w:t>
      </w:r>
    </w:p>
    <w:p>
      <w:pPr>
        <w:spacing w:after="0" w:line="65" w:lineRule="exact"/>
        <w:rPr>
          <w:rFonts w:ascii="Times New Roman" w:cs="Times New Roman" w:eastAsia="Times New Roman" w:hAnsi="Times New Roman"/>
          <w:sz w:val="18"/>
          <w:szCs w:val="18"/>
          <w:color w:val="auto"/>
        </w:rPr>
      </w:pPr>
    </w:p>
    <w:p>
      <w:pPr>
        <w:ind w:left="440" w:right="28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comply with environmental, health and safety laws and regulations, we could become subject to fines or penalties or incur costs that could harm our business.</w:t>
      </w:r>
    </w:p>
    <w:p>
      <w:pPr>
        <w:spacing w:after="0" w:line="50" w:lineRule="exact"/>
        <w:rPr>
          <w:rFonts w:ascii="Times New Roman" w:cs="Times New Roman" w:eastAsia="Times New Roman" w:hAnsi="Times New Roman"/>
          <w:sz w:val="18"/>
          <w:szCs w:val="18"/>
          <w:color w:val="auto"/>
        </w:rPr>
      </w:pPr>
    </w:p>
    <w:p>
      <w:pPr>
        <w:ind w:left="440" w:hanging="440"/>
        <w:spacing w:after="0" w:line="290" w:lineRule="auto"/>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regulatory approvals could be revoked or otherwise negatively impacted, and we could be subject to costly and damaging product liability claims.</w:t>
      </w:r>
    </w:p>
    <w:p>
      <w:pPr>
        <w:spacing w:after="0" w:line="47" w:lineRule="exact"/>
        <w:rPr>
          <w:rFonts w:ascii="Times New Roman" w:cs="Times New Roman" w:eastAsia="Times New Roman" w:hAnsi="Times New Roman"/>
          <w:sz w:val="17"/>
          <w:szCs w:val="17"/>
          <w:color w:val="auto"/>
        </w:rPr>
      </w:pPr>
    </w:p>
    <w:p>
      <w:pPr>
        <w:ind w:left="440" w:right="180" w:hanging="440"/>
        <w:spacing w:after="0" w:line="261"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identified a material weakness in our internal control over financial reporting in our consolidated financial statements for the year ended December 31, 2021.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share price.</w:t>
      </w:r>
    </w:p>
    <w:p>
      <w:pPr>
        <w:spacing w:after="0" w:line="71" w:lineRule="exact"/>
        <w:rPr>
          <w:rFonts w:ascii="Times New Roman" w:cs="Times New Roman" w:eastAsia="Times New Roman" w:hAnsi="Times New Roman"/>
          <w:sz w:val="18"/>
          <w:szCs w:val="18"/>
          <w:color w:val="auto"/>
        </w:rPr>
      </w:pPr>
    </w:p>
    <w:p>
      <w:pPr>
        <w:ind w:left="440" w:right="40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50"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 candidates are years away from regulatory approval.</w:t>
      </w:r>
    </w:p>
    <w:p>
      <w:pPr>
        <w:spacing w:after="0" w:line="117" w:lineRule="exact"/>
        <w:rPr>
          <w:rFonts w:ascii="Times New Roman" w:cs="Times New Roman" w:eastAsia="Times New Roman" w:hAnsi="Times New Roman"/>
          <w:sz w:val="18"/>
          <w:szCs w:val="18"/>
          <w:color w:val="auto"/>
        </w:rPr>
      </w:pPr>
    </w:p>
    <w:p>
      <w:pPr>
        <w:ind w:left="440" w:right="78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establish sales, marketing and distribution capabilities, we may not be successful in commercializing our product candidates if they are approved.</w:t>
      </w:r>
    </w:p>
    <w:p>
      <w:pPr>
        <w:spacing w:after="0" w:line="50" w:lineRule="exact"/>
        <w:rPr>
          <w:rFonts w:ascii="Times New Roman" w:cs="Times New Roman" w:eastAsia="Times New Roman" w:hAnsi="Times New Roman"/>
          <w:sz w:val="18"/>
          <w:szCs w:val="18"/>
          <w:color w:val="auto"/>
        </w:rPr>
      </w:pPr>
    </w:p>
    <w:p>
      <w:pPr>
        <w:ind w:left="44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substantial competition that may result in others discovering, developing or commercializing products before or more successfully than we do.</w:t>
      </w:r>
    </w:p>
    <w:p>
      <w:pPr>
        <w:spacing w:after="0" w:line="50" w:lineRule="exact"/>
        <w:rPr>
          <w:rFonts w:ascii="Times New Roman" w:cs="Times New Roman" w:eastAsia="Times New Roman" w:hAnsi="Times New Roman"/>
          <w:sz w:val="18"/>
          <w:szCs w:val="18"/>
          <w:color w:val="auto"/>
        </w:rPr>
      </w:pPr>
    </w:p>
    <w:p>
      <w:pPr>
        <w:ind w:left="440" w:right="92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commercialize any product candidates, the products may become subject to unfavorable pricing regulations, third-party reimbursement practices or healthcare reform initiatives that would harm our business.</w:t>
      </w:r>
    </w:p>
    <w:p>
      <w:pPr>
        <w:spacing w:after="0" w:line="50" w:lineRule="exact"/>
        <w:rPr>
          <w:rFonts w:ascii="Times New Roman" w:cs="Times New Roman" w:eastAsia="Times New Roman" w:hAnsi="Times New Roman"/>
          <w:sz w:val="18"/>
          <w:szCs w:val="18"/>
          <w:color w:val="auto"/>
        </w:rPr>
      </w:pPr>
    </w:p>
    <w:p>
      <w:pPr>
        <w:jc w:val="both"/>
        <w:ind w:left="440" w:right="180" w:hanging="440"/>
        <w:spacing w:after="0" w:line="315" w:lineRule="auto"/>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26" w:lineRule="exact"/>
        <w:rPr>
          <w:rFonts w:ascii="Times New Roman" w:cs="Times New Roman" w:eastAsia="Times New Roman" w:hAnsi="Times New Roman"/>
          <w:sz w:val="17"/>
          <w:szCs w:val="17"/>
          <w:color w:val="auto"/>
        </w:rPr>
      </w:pPr>
    </w:p>
    <w:p>
      <w:pPr>
        <w:ind w:left="440" w:right="2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market opportunities for our product candidates are smaller than expected, our revenues may be adversely affected and our business may suffer.</w:t>
      </w:r>
    </w:p>
    <w:p>
      <w:pPr>
        <w:spacing w:after="0" w:line="50"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of our common stock has historically been highly volatile.</w:t>
      </w:r>
    </w:p>
    <w:p>
      <w:pPr>
        <w:spacing w:after="0" w:line="117"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operating results could adversely affect the price of our common stock.</w:t>
      </w:r>
    </w:p>
    <w:p>
      <w:pPr>
        <w:spacing w:after="0" w:line="117" w:lineRule="exact"/>
        <w:rPr>
          <w:rFonts w:ascii="Times New Roman" w:cs="Times New Roman" w:eastAsia="Times New Roman" w:hAnsi="Times New Roman"/>
          <w:sz w:val="18"/>
          <w:szCs w:val="18"/>
          <w:color w:val="auto"/>
        </w:rPr>
      </w:pPr>
    </w:p>
    <w:p>
      <w:pPr>
        <w:ind w:left="440" w:right="6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a significant number of shares of our common stock in the public markets, or the perception that such sales could occur, could depress the market price of our common stock.</w:t>
      </w:r>
    </w:p>
    <w:p>
      <w:pPr>
        <w:spacing w:after="0" w:line="50" w:lineRule="exact"/>
        <w:rPr>
          <w:rFonts w:ascii="Times New Roman" w:cs="Times New Roman" w:eastAsia="Times New Roman" w:hAnsi="Times New Roman"/>
          <w:sz w:val="18"/>
          <w:szCs w:val="18"/>
          <w:color w:val="auto"/>
        </w:rPr>
      </w:pPr>
    </w:p>
    <w:p>
      <w:pPr>
        <w:ind w:left="440" w:right="120" w:hanging="440"/>
        <w:spacing w:after="0" w:line="284"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Anti-takeover provisions in our charter documents and provisions of Delaware law may make an acquisition more difficult and could result in the entrenchment of management.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443" w:right="359" w:bottom="1440" w:gutter="0" w:footer="0" w:header="0"/>
        </w:sectPr>
      </w:pPr>
    </w:p>
    <w:bookmarkStart w:id="30" w:name="page31"/>
    <w:bookmarkEnd w:id="30"/>
    <w:p>
      <w:pPr>
        <w:ind w:left="440" w:hanging="440"/>
        <w:spacing w:after="0" w:line="284"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could be negatively affected as a result of actions of activist stockholders, and such activism could impact the trading value of our securities.</w:t>
      </w:r>
    </w:p>
    <w:p>
      <w:pPr>
        <w:spacing w:after="0" w:line="50" w:lineRule="exact"/>
        <w:rPr>
          <w:rFonts w:ascii="Times New Roman" w:cs="Times New Roman" w:eastAsia="Times New Roman" w:hAnsi="Times New Roman"/>
          <w:sz w:val="18"/>
          <w:szCs w:val="18"/>
          <w:color w:val="auto"/>
        </w:rPr>
      </w:pPr>
    </w:p>
    <w:p>
      <w:pPr>
        <w:ind w:left="440" w:right="740" w:hanging="440"/>
        <w:spacing w:after="0" w:line="284"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44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significant losses since our inception and are expected to continue to incur significant losses for the foreseeable future.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preclinical-stage biotechnology company, and we have not yet generated significant revenues. We have incurred net losses in each year since our inception in August 2002, including net losses of $87.9 million and $56.2 million for the years ended December 31, 2021 and 2020, respectively. As of December 31, 2021, we had an accumulated deficit of $402.7 million.</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still in the early stages of development of our product candidates, and have no products approved for commercial sale. To date, we have financed our operations primarily through issuances of shares of common stock, from private placements of convertible preferred stock, and from payments under collaboration agreements.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preclinical and clinical development activities. We expect to continue to incur significant expenses and operating losses over the next several years as we continue the development of our complement product candidates. Our operating losses may fluctuate significantly from quarter to quarter and year to year. We are expected to continue to incur significant expenses and operating losses for at least the next several years as we:</w:t>
      </w:r>
    </w:p>
    <w:p>
      <w:pPr>
        <w:spacing w:after="0" w:line="72"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and begin clinical development of CB 2782-PEG, CB 4332 and our other complement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having CB 4332 and our other complement product candidates manufactured for preclinical and clinical development;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the manufacturing process for our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skilled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studies;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operations as a public company and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other issues with any of the above.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product candidates, obtaining regulatory approval for these product candidates and manufacturing, marketing and selling any products for which regulatory approval is obtained. We are only in the preliminary stages of most of these activities. We may never succeed in these activities and, even if we do, we may never generate revenues that are significant enough to achieve profitability.</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Failure to become and remain profitable would depress the value of our common stock and could impair our ability to raise capital, expand our business, maintain research and development efforts, diversify product offerings or even continue operations. A decline in the value of our common stock could also cause you to lose all or part of your investment.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We may not be able to identify or execute any strategic alternatives.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2022 we announced that we were exploring strategic alternatives. There can be no assurance that this strategic review process will result in us pursuing any transaction or that any transaction, if pursued, will be completed on attractive terms or at all.</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will need additional capital to continue product development and may not be able to do so. If we are unable to raise sufficient capital, we will be forced to delay, reduce or eliminate product development programs.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expensive. If we continue with preclinical and clinical development activities, we will continue to incur expenses related to the preclinical and clinical development of our complement product candidates. We believe that our available cash, cash equivalents and investments will be sufficient to fund our operations for at least the next 12 months. However, we expect to need to raise substantial additional capital to begin the clinical development of CB 2782-PEG, CB 4332 or any of our other complement product candidates, and depending on the availability of capital, may need to delay or cease development of some or all of our product candidates. Even if we raise additional capital, we may elect to focus our efforts on one or more development programs and delay or cease other development programs.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Until we can generate sufficient revenue from our product candidates, if ever, we expect to finance future cash needs through public or private equity offerings, debt financings, corporate collaborations and/or licensing arrangements. Additional funds may not be available when we need them on terms that are acceptable, or at all. If adequate funds are not available, we may be required to delay, reduce the scope of or eliminate some or all of our research or development programs.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successful development of our product candidates is uncertain, we are unable to estimate the actual funds required to complete research and development and commercialize our products under development. Our future funding requirements, both near and long-term, will depend on many factors, including, but not limited to:</w:t>
      </w:r>
    </w:p>
    <w:p>
      <w:pPr>
        <w:spacing w:after="0" w:line="68" w:lineRule="exact"/>
        <w:rPr>
          <w:sz w:val="20"/>
          <w:szCs w:val="20"/>
          <w:color w:val="auto"/>
        </w:rPr>
      </w:pPr>
    </w:p>
    <w:p>
      <w:pPr>
        <w:ind w:left="880" w:right="56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preclinical studies or clinical trials of CB 2782-PEG, CB 4332 or our other complement product candidates, and expenses related to potential clinical development of such candidates;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related to our cessation of development of MarzAA and DalcA;</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to purchase CB 2782-PEG inventory from Biogen;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and costs associated with hiring or retaining personnel;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maintaining, defending and enforcing intellectual property rights, including patent rights;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completing outsourced manufacturing activities;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product candidates for which we may receive regulatory approval;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operate our business, including costs associated with being a public company;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license or invest in businesses, products or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3" w:name="page34"/>
    <w:bookmarkEnd w:id="33"/>
    <w:p>
      <w:pPr>
        <w:ind w:right="120"/>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or the conflict between Russia and Ukraine. If we are unable to raise sufficient additional capital, we could be forced to curtail our planned operations and the pursuit of our strategy.</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funds by issuing securities or through licensing arrangements may cause dilution to stockholders, restrict our operations or require us to relinquish proprietary rights.</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stockholders will be diluted, and the terms of these new securities may include liquidation or other preferences that adversely affect the rights of common stockholders. We currently have in place an Equity Distribution Agreement with Piper Sandler &amp; Co. that permits us, subject to applicable SEC regulations, up to $50.0 million worth of shares of our common stock in “at the market” transactions at prevailing market prices.</w:t>
      </w:r>
    </w:p>
    <w:p>
      <w:pPr>
        <w:spacing w:after="0" w:line="18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may also seek to access the public or private capital markets whenever conditions are favorable, even if we do not have an immediate need for additional capital at that time. There can be no assurance that we will be able to obtain additional funding if, and when necessary. If we are unable to obtain adequate financing on a timely basis, we could be required to delay, curtail or eliminate one or more, or all, of our development programs or grant rights to develop and market product candidates that we would otherwise prefer to develop and market ourselves.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have an effective registration statement on Form S-3 that allows us to offer up to $150.0 million of securities in one or more offerings, subject to limitations under applicable SEC rules, including up to $50.0 million of common stock issuable under our Equity Distribution Agreement with Piper Sandler &amp; Co. Any additional sales in the public market of our common stock or other securities under these shelf registration statements could adversely affect prevailing market prices for our common stock.</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have no history of obtaining regulatory approval or commercialization of pharmaceutical products, which may make it difficult to evaluate the Company’s prospects.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began operations in August 2002. Our operations to date have been limited to financing and staffing the Company, developing our technology and product candidates, establishing collaborations and conducting Phase 2 clinical trials on small numbers of patients. We have not yet demonstrated an ability to successfully conduct a Phase 3 clinical trial, obtain marketing approvals, manufacture a product at commercial scale repeatedly, or conduct sales and marketing activities necessary for successful product commercialization. Consequently, predictions about the Company’s future product development timelines, clinical trial plans, expenses, success or viability may not be as accurate as they could be if we had a longer operating history or a history of successfully developing and commercializing pharmaceutical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outbreak of the novel coronavirus disease, COVID-19, could adversely impact our business, including our preclinical studies.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global coronavirus pandemic has resulted in widespread requirements for individuals to work from their homes, strained medical facilities worldwide and is causing disruptions to certain pharmaceutical manufacturing and product supply chains. We are experiencing operational and other challenges as a result of the COVID-19 global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ind w:right="300"/>
        <w:spacing w:after="0" w:line="266" w:lineRule="auto"/>
        <w:rPr>
          <w:sz w:val="20"/>
          <w:szCs w:val="20"/>
          <w:color w:val="auto"/>
        </w:rPr>
      </w:pPr>
      <w:r>
        <w:rPr>
          <w:rFonts w:ascii="Times New Roman" w:cs="Times New Roman" w:eastAsia="Times New Roman" w:hAnsi="Times New Roman"/>
          <w:sz w:val="18"/>
          <w:szCs w:val="18"/>
          <w:color w:val="auto"/>
        </w:rPr>
        <w:t>pandemic across our programs. The impact of COVID-19 on the enrollment of the MAA-304 and MAA-202 studies contributed to their being halted in November 2021, and may delay or halt our development in other programs. In particular, as a result of the COVID-19 pandemic, we may experience disruptions that could severely impact our business, preclinical studies, drug manufacturing and clinical trials including:</w:t>
      </w:r>
    </w:p>
    <w:p>
      <w:pPr>
        <w:spacing w:after="0" w:line="189" w:lineRule="exact"/>
        <w:rPr>
          <w:sz w:val="20"/>
          <w:szCs w:val="20"/>
          <w:color w:val="auto"/>
        </w:rPr>
      </w:pPr>
    </w:p>
    <w:p>
      <w:pPr>
        <w:ind w:left="880" w:right="52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of our product candidates as third-party manufacturing capacity is shifted towards the production of COVID-19 vaccines;</w:t>
      </w:r>
    </w:p>
    <w:p>
      <w:pPr>
        <w:spacing w:after="0" w:line="53" w:lineRule="exact"/>
        <w:rPr>
          <w:rFonts w:ascii="Times New Roman" w:cs="Times New Roman" w:eastAsia="Times New Roman" w:hAnsi="Times New Roman"/>
          <w:sz w:val="18"/>
          <w:szCs w:val="18"/>
          <w:color w:val="auto"/>
        </w:rPr>
      </w:pPr>
    </w:p>
    <w:p>
      <w:pPr>
        <w:ind w:left="880" w:right="44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European Medicines Agency (the “EMA”) or other regulatory authorities, which may impact review and approval timelines;</w:t>
      </w:r>
    </w:p>
    <w:p>
      <w:pPr>
        <w:spacing w:after="0" w:line="53" w:lineRule="exact"/>
        <w:rPr>
          <w:rFonts w:ascii="Times New Roman" w:cs="Times New Roman" w:eastAsia="Times New Roman" w:hAnsi="Times New Roman"/>
          <w:sz w:val="18"/>
          <w:szCs w:val="18"/>
          <w:color w:val="auto"/>
        </w:rPr>
      </w:pPr>
    </w:p>
    <w:p>
      <w:pPr>
        <w:ind w:left="880" w:right="62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laboratory facilities;</w:t>
      </w:r>
    </w:p>
    <w:p>
      <w:pPr>
        <w:spacing w:after="0" w:line="117"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including because of sickness of employees or their families or the desire of employees to avoid contact with large groups of people;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delays and complications with respect to our research and development programs.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have been highly volatile as a result of the COVID-19 pandemic. Furthermore, a recession or market correction resulting from the spread of COVID-19 could materially affect our operations and the value of our common stock.</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CB 2782-PEG and CB 4332 are in the early stages of development and their commercial viability remains subject to current and future preclinical studies, clinical trials, regulatory approvals and the risks generally inherent in the development of a pharmaceutical product candidate. If we are unable to successfully advance or develop our complement product candidates, our business may be materially harmed.</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and all of our product candidates are currently in clinical and preclinical development. To date, we have not successfully commercially marketed, distributed or sold any product candidate. The success of our business depends primarily upon our ability to successfully advance the development of our product candidates through preclinical studies and clinical trials, have the product candidates approved for sale by the FDA or regulatory authorities in other countries, and ultimately have the product candidates successfully commercialized by us or a strategic partner. We cannot assure you that the results of our ongoing preclinical studies or future clinical trials will support or justify the continued development of CB 2782-PEG or CB 4332, or that we will receive approval from the FDA, or similar regulatory authorities in other countries, to advance the development of CB 2782-PEG or CB 4332.</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may not occur for several years, if ever, will depend heavily on the successful development, regulatory approval, obtaining of manufacturing supply, capacity and expertise, and eventual commercialization of our product candidates. The success of CB 2782-PEG, CB 4332 or any other product candidates that we develop or otherwise may acquire will depend on several factors, including:</w:t>
      </w:r>
    </w:p>
    <w:p>
      <w:pPr>
        <w:spacing w:after="0" w:line="72"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880" w:right="400" w:hanging="440"/>
        <w:spacing w:after="0" w:line="312" w:lineRule="auto"/>
        <w:tabs>
          <w:tab w:leader="none" w:pos="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31" w:lineRule="exact"/>
        <w:rPr>
          <w:rFonts w:ascii="Times New Roman" w:cs="Times New Roman" w:eastAsia="Times New Roman" w:hAnsi="Times New Roman"/>
          <w:sz w:val="17"/>
          <w:szCs w:val="17"/>
          <w:color w:val="auto"/>
        </w:rPr>
      </w:pPr>
    </w:p>
    <w:p>
      <w:pPr>
        <w:ind w:left="880" w:right="58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5" w:name="page36"/>
    <w:bookmarkEnd w:id="35"/>
    <w:p>
      <w:pPr>
        <w:ind w:left="880" w:right="560" w:hanging="440"/>
        <w:spacing w:after="0" w:line="312" w:lineRule="auto"/>
        <w:tabs>
          <w:tab w:leader="none" w:pos="8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agreements with third-party manufacturers for clinical supply for our clinical trials and commercial manufacturing and successfully develop, obtain regulatory approval for, and then successfully commercialize our product candidates;</w:t>
      </w:r>
    </w:p>
    <w:p>
      <w:pPr>
        <w:spacing w:after="0" w:line="31"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launching commercial sales of products, if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CB 2782-PEG, CB 4332 or any other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117"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17"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the products following approval; and</w:t>
      </w:r>
    </w:p>
    <w:p>
      <w:pPr>
        <w:spacing w:after="0" w:line="117" w:lineRule="exact"/>
        <w:rPr>
          <w:rFonts w:ascii="Times New Roman" w:cs="Times New Roman" w:eastAsia="Times New Roman" w:hAnsi="Times New Roman"/>
          <w:sz w:val="18"/>
          <w:szCs w:val="18"/>
          <w:color w:val="auto"/>
        </w:rPr>
      </w:pPr>
    </w:p>
    <w:p>
      <w:pPr>
        <w:ind w:left="880" w:right="46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162" w:lineRule="exact"/>
        <w:rPr>
          <w:sz w:val="20"/>
          <w:szCs w:val="20"/>
          <w:color w:val="auto"/>
        </w:rPr>
      </w:pPr>
    </w:p>
    <w:p>
      <w:pPr>
        <w:ind w:right="200" w:firstLine="27"/>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Failure to successfully advance the development of our complement product candidates, including CB 2782-PEG and CB 4332, may have a material adverse effect on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CB 2782-PEG, CB 4332 and all of our other product candidates will require additional clinical testing before they can be sold.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product candidates must satisfy rigorous regulatory standards of safety and efficacy before we can advance or complete their clinical development or they can be approved for sale. To satisfy these standards, we must engage in expensive and lengthy preclinical studies and clinical trials, develop acceptable manufacturing processes, and obtain regulatory approval of our complement product candidates. Despite these efforts, our complement product candidates may not:</w:t>
      </w:r>
    </w:p>
    <w:p>
      <w:pPr>
        <w:spacing w:after="0" w:line="72"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therapeutic or other medical benefits over existing drugs or other product candidates in development to treat the same patient population;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proven to be safe and effective in current and future preclinical studies or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desired effects;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free from undesirable or unexpected effects;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capable of being formulated and manufactured in commercially suitable quantities and at an acceptable cost; or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successfully commercialized by us or by collaborators.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demonstrate favorable results in preclinical studies and early-stage clinical trials, we cannot assure you that the results of late-stage clinical trials will be favorable enough to support the continued development of our product candidates. A number of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of our complement product candidates may not be predictive of the results we may obtain in human clinical trials. Furthermore, even if the data collected from preclinical studies and clinical trials involving our complement product candidates demonstrate a favorable safety and efficacy profile, such results may not be sufficient to support the submission of a biologics license application to obtain regulatory approval from the FDA in the United States or other similar regulatory agencies in other jurisdictions, which is required to market and sell the products.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development efforts, the commitment of substantial financial resources, and regulatory approvals prior to advancing into clinical development or being commercialized by us or collaborators. We cannot assure you that CB 4332 or CB 2782-PEG will successfully progress into clinical development or through the drug development process or will result in commercially viable products. We do not expect any of our other complement product candidates to be commercialized by us or collaborators for at least several years.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experience delays or difficulties in the commencement of clinical trials or patient enrollment in clinical trials, our regulatory approvals could be delayed or prevented.</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our product candidates if we are unable to locate, enroll and maintain enrollment of a sufficient number of eligible patients to participate in these trials as required by the FDA or similar regulatory authorities outside the United States. In particular, there is a relatively small number of individuals with CFI deficiency or dry AMD for whom CB 2782-PEG or CB 4332 can be used in clinical trials. The availability of other approved products and other products in clinical trials have and may limit the number of patients willing to participate in our clinical trials.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other product candidates in the same indication;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testing and turnaround time for samples needed for eligibility assessments;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will result in significant delays and could require us to abandon one or more clinical trials altogether. Enrollment delays in clinical trials conducted by us may also result in increased development costs for our product candidates, which would cause the value of the Company to decline and limit our ability to obtain additional financing.</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operations of our third-party manufacturers may be requisitioned, diverted or allocated by U.S. or foreign government orders such as under emergency, disaster and civil defense declarations in connection with the COVID-19 pandemic or otherwise.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third-party manufacturers of our complement product candidates have advised us that they could be required under orders of the U.S. government to allocate manufacturing capacity to the manufacture or distribution of COVID-19 vaccines. If any of our third-party manufacturers become subject to acts or orders of U.S. or foreign government entities to allocate manufacturing capacity to the manufacture or distribution of COVID-19 vaccines or medical supplies needed to treat COVID-19 patients, this could delay or interrupt, perhaps substantially, our supply of clinical trial material for MarzAA which could materially and adversely affect our business. Refer to the risk factor entitled “The outbreak of the novel coronavirus disease, COVID-19, could adversely impact our business, including our preclinical studies and clinical trials.”</w:t>
      </w:r>
    </w:p>
    <w:p>
      <w:pPr>
        <w:spacing w:after="0" w:line="29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coronavirus disease, COVID-19, and the conflict between Russia and Ukraine, may impact our third-party supply of the raw materials and components needed for our product candidates, which increases the risk that we will not have sufficient quantities of such product candidates or products or such quantities at an acceptable cost, which could delay, prevent or impair our development efforts.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supplies of the raw materials for our product candidates are significantly delayed, or if the third parties that we engage to supply any materials or to manufacture any products for our preclinical tests and clinical trials should cease to continue to do so for any reason, including due to the effects of the COVID-19 pandemic or the conflict between Russia and Ukraine,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current and anticipated dependence upon third-party suppliers may adversely affect our ability to develop product candidates and could delay our clinical trials and development programs, and otherwise harm our operations and financial condition and increase our costs and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discovery,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complement product candidates may cause the generation of neutralizing antibodies, which could prevent their further development.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CB 2782-PEG, CB 4332 and our other complement product candidates are protein molecules which may cause the generation of antibodies in individuals who receive them. If clinical trials demonstrate a treatment-related neutralizing immunological response in individuals that causes safety concerns or would limit the efficacy of either product candidate, development of the product candidate could be halted.</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CB 2782-PEG, CB 4332 and our other complement product candidates.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build a pipeline of additional product candidates.</w:t>
      </w:r>
    </w:p>
    <w:p>
      <w:pPr>
        <w:spacing w:after="0" w:line="121"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 Clinical drug development involves a lengthy and expensive process with an uncertain outcome.</w:t>
      </w:r>
    </w:p>
    <w:p>
      <w:pPr>
        <w:spacing w:after="0" w:line="29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Results from preclinical or early stage clinical trials may not be confirmed in later trials, and if serious adverse or unacceptable side effects are identified during the development of our product candidates, we may need to abandon or limit our development of some of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testing is expensive, time consuming and uncertain as to outcome. We cannot guarantee that any preclinical studies and clinical trials will be conducted as planned or completed on schedule, if at all. The clinical development of our product candidates is susceptible to the risk of failure at any stage of drug development, including failure to demonstrate efficacy in a clinical trial or across a suitable population of patients, the occurrence of severe or medically or commercially unacceptable adverse events, failure to comply with protocols or applicable regulatory requirements and determination by the FDA or any comparable foreign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9" w:name="page40"/>
    <w:bookmarkEnd w:id="3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the outcome of preclinical studies and early clinical trials may not be predictive of the success of late-stage clinical trials. Trials of our product candidates in larger numbers of patients may not have similar efficacy results and could result in adverse effects that were not observed in the earlier trials with smaller numbers of patients.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earlier development, and we may face similar setbacks. The design of a clinical trial can determine whether our results will support approval of a product and flaws in the design of a clinical trial may not become apparent until the clinical trial is well advanced. We have limited experience in designing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foreign regulatory authorities may disagree and may not grant marketing approval of our product candidates.</w:t>
      </w:r>
    </w:p>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in clinical trials or have characteristics that are unexpected, we may need to abandon development or limit development of the product candidate to more narrow uses or subpopulations in which the undesirable side effects or other characteristics are less prevalent, less severe or more acceptable from a risk-benefit perspective. Any such limitations could adversely affect the value of our product candidates or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 designation by the FDA may not actually lead to a faster development or regulatory review or approval process.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grants Fast Track designation to therapies that are considered capable of addressing unmet medical needs and possess the potential to treat serious or life-threatening disease conditions in order to facilitate its development and expedite the review procedure. The FDA has broad discretion in granting Fast Track designation, so even if we believe that a particular product candidate is eligible for such designation, the FDA could decide not to grant it. Even though Marzeptacog alfa (activated)—or MarzAA—has received Fast Track designation in certain indications, we may not experience a faster development process, review or approval, or receive FDA approval at all, in any of those indications compared to conventional FDA procedures. A Fast Track designation does not change the standards for approval. The FDA may also withdraw Fast Track designation if it believes that the designation is no longer supported by data from our clinical development program.</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right="4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have previously relied on collaborators, such as Biogen, Pfizer and ISU, to contribute to the development of our product candidates. We may seek one or more additional collaborators for the development and commercialization of one or more of our product candidates. For example, we are seeking a new collaborator to develop MarzAA or DalcA, and we are also seeking collaborators for our complement programs.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can reach a definitive agreement with a collaborator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There can also be no assurance that we will enter into any collaboration agreements, or that any such agreements will be on favorable terms.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Collaborations are complex and time consuming to negotiate and document. In addition, there have been a significant number of recent business combinations among large pharmaceutical companies that have resulted in a reduced number of potential future collaborators. 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and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We contract with third parties for the manufacture of our product candidates for preclinical testing and expect to continue to do so for clinical testing and commercialization. This reliance on third parties increases the risk that we will not have sufficient quantities or quality of our product candidates or products or such quantities at an acceptable cost, which could delay, prevent or impair our development or commercialization efforts.</w:t>
      </w:r>
    </w:p>
    <w:p>
      <w:pPr>
        <w:spacing w:after="0" w:line="72"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We currently have no internal capabilities to manufacture our product candidates for clinical use or for preclinical trials following good manufacturing practices (“GMP”), or good laboratory practices (“GLP”). We expect to rely on one or more third-party contractors to manufacture, package, label and distribute clinical supplies and commercial quantities of any product candidate that we commercialize following approval for marketing by applicable regulatory authorities. We also expect to rely on one or more third-party contractors to manufacture our product candidates for use in our clinical trials. Reliance on such third-party contractors entails risks, including: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1" w:name="page42"/>
    <w:bookmarkEnd w:id="41"/>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and negotiate manufacturing and supply agreements with suitable manufacturers;</w:t>
      </w:r>
    </w:p>
    <w:p>
      <w:pPr>
        <w:spacing w:after="0" w:line="117" w:lineRule="exact"/>
        <w:rPr>
          <w:rFonts w:ascii="Times New Roman" w:cs="Times New Roman" w:eastAsia="Times New Roman" w:hAnsi="Times New Roman"/>
          <w:sz w:val="18"/>
          <w:szCs w:val="18"/>
          <w:color w:val="auto"/>
        </w:rPr>
      </w:pPr>
    </w:p>
    <w:p>
      <w:pPr>
        <w:ind w:left="880" w:right="72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give greater priority to the supply of other products over our product candidates or otherwise do not satisfactorily perform according to the terms of the agreements between us and them;</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Although we do not currently rely on third parties with operations in Russia or Ukraine, some of our vendors may do so, and disruptions in supply of materials or components to our vendors as a result of the conflict between Russia and Ukraine could adversely affect us. We may incur delays in product development resulting from the need to identify or qualify manufacturers for our product candidates. 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many manufacturing risks, any of which could substantially increase our costs and limit supply of our product candidates and any future products.</w:t>
      </w:r>
    </w:p>
    <w:p>
      <w:pPr>
        <w:spacing w:after="0" w:line="5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To date, our product candidates have been manufactured by third-party manufacturers solely for preclinical studies and relatively small clinical trials. The process of manufacturing our complement associated therapeutic product candidates is complex, highly regulated and subject to several risks, including:</w:t>
      </w:r>
    </w:p>
    <w:p>
      <w:pPr>
        <w:spacing w:after="0" w:line="32" w:lineRule="exact"/>
        <w:rPr>
          <w:sz w:val="20"/>
          <w:szCs w:val="20"/>
          <w:color w:val="auto"/>
        </w:rPr>
      </w:pPr>
    </w:p>
    <w:p>
      <w:pPr>
        <w:ind w:left="880" w:hanging="440"/>
        <w:spacing w:after="0" w:line="258"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75" w:lineRule="exact"/>
        <w:rPr>
          <w:rFonts w:ascii="Times New Roman" w:cs="Times New Roman" w:eastAsia="Times New Roman" w:hAnsi="Times New Roman"/>
          <w:sz w:val="18"/>
          <w:szCs w:val="18"/>
          <w:color w:val="auto"/>
        </w:rPr>
      </w:pPr>
    </w:p>
    <w:p>
      <w:pPr>
        <w:ind w:left="880" w:right="120" w:hanging="440"/>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adversely affected by equipment failures, labor and raw material shortages, financial difficulties of our contract manufacturers, including as a result of the evolving effects of the COVID-19 pandemic, natural disasters, power failures, local political unrest and numerous other factors; and</w:t>
      </w:r>
    </w:p>
    <w:p>
      <w:pPr>
        <w:spacing w:after="0" w:line="67" w:lineRule="exact"/>
        <w:rPr>
          <w:rFonts w:ascii="Times New Roman" w:cs="Times New Roman" w:eastAsia="Times New Roman" w:hAnsi="Times New Roman"/>
          <w:sz w:val="18"/>
          <w:szCs w:val="18"/>
          <w:color w:val="auto"/>
        </w:rPr>
      </w:pPr>
    </w:p>
    <w:p>
      <w:pPr>
        <w:ind w:left="880" w:right="60" w:hanging="440"/>
        <w:spacing w:after="0" w:line="261"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undertake costly remediation efforts or seek costlier manufacturing alternatives.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Specifically, we have entered into various development, manufacturing and clinical supply services agreements with third-party manufacturers for drug substance and drug product manufacturing of our product candidates CB 2782-PEG, CB 4332, MarzAA, and DalcA. If our third-party manufacturers are not able to provide us with sufficient quantities or quality of our of product candidates on a timely basis, or at all, whether due to production shortages or other supply delays or interruptions resulting from the ongoing COVID-19 pandemic or otherwise, our preclinical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ind w:right="100"/>
        <w:spacing w:after="0" w:line="261" w:lineRule="auto"/>
        <w:rPr>
          <w:sz w:val="20"/>
          <w:szCs w:val="20"/>
          <w:color w:val="auto"/>
        </w:rPr>
      </w:pPr>
      <w:r>
        <w:rPr>
          <w:rFonts w:ascii="Times New Roman" w:cs="Times New Roman" w:eastAsia="Times New Roman" w:hAnsi="Times New Roman"/>
          <w:sz w:val="18"/>
          <w:szCs w:val="18"/>
          <w:color w:val="auto"/>
        </w:rPr>
        <w:t>trials, clinical trials or regulatory approvals, as applicable, may be delayed. Significant portions of our research and development resources are focused on manufacturing. If any of our third-party manufacturers experiences difficulties in scaling production or experiences product loss due to contamination, equipment failure, improper installation or operation of equipment, vendor or operator error or improper storage conditions, the potential trials of the affected product candidate would be delayed, perhaps substantially, which could materially and adversely affect our business.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minimal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 or preclinical trial material could delay the completion of clinical trials or preclinical trials, increase the costs associated with maintaining such trial programs and, depending upon the period of delay, require us to commence new clinical trials or preclinical trials at additional expense or terminate the trials completely.</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and our contract manufacturers will be subject to significant regulation with respect to manufacturing our products. The manufacturing facilities on which we will rely may not continue to meet regulatory requirements and have limited capacity.</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any contract manufacturers for our product candidates, are subject to extensive regulation. Components of a finished therapeutic product approved for commercial sale or used in late-stage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GLP and GMP regulations enforced by the FDA through its facilities inspection program. Our facilities and quality systems and the facilities and quality systems of some or all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the associated quality systems for compliance with the regulations applicable to the activities being conducted. If these facilities do not pass a pre-approval plant inspection or do not have a GMP compliance status acceptable for the FDA, FDA approval of the products will not be granted.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conduct certain aspects of our preclinical studies and any clinical trials, and those third parties may not perform satisfactorily, including failing to meet deadlines for the completion of such tasks or trials.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on third parties such as contract research organizations (“CROs”), medical institutions and clinical investigators to conduct certain aspects of preclinical development, including assay development and testing, and to enroll qualified patients and conduct, supervise and monitor clinical trials. Our reliance on these third parties for preclinical and clinical development activities reduces our control over these activities. Our reliance on these third parties, however, will not relieve us of our regulatory responsibilities, including ensuring that our clinical studies are conducted in accordance with good clinical practices, and the investigational plan and protocols contained in the relevant regulatory application, such as an investigational new drug application, or IND. In addition, the CROs with whom we contract may not complete activities on schedule or may not conduct our preclinical studies or clinical studies in accordance with regulatory requirements or our clinical study design. If these third parties do not successfully carry out their contractual duties or meet expected deadlines, our efforts to complete development and obtain regulatory approvals for, and to commercialize, our product candidates may be delayed or prevented.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 matters, managing growth and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executive management and scientific personnel. We do not maintain “key man” insurance policies on the lives of these individuals or the lives of any of our other employees. In addition, we will need to add personnel to achieve our business objectives. The loss of the services of any of our executive officers, other key employees, and our inability to find suitable replacements, or our inability to hire new clinical development and manufacturing personnel, could result in delays in product development and harm our business.</w:t>
      </w:r>
    </w:p>
    <w:p>
      <w:pPr>
        <w:spacing w:after="0" w:line="1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conduct operations at our facility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Catalyst, in addition to salary and cash incentives, we have provided stock options that vest over time. The value to employees of stock options that vest over time may be significantly affected by movements in the Company’s stock price that are beyond our control and may at any time be insufficient to counteract more lucrative offers from other companies. Despite our efforts to retain valuable employees, members of management and scientific and development teams may terminate their employment with the Company on short notice. Our employees are under at-will employment arrangements, which means that any of our employees can leave employment with Catalyst at any time, with or without notice. Failure to retain, replace or recruit personnel could harm our business.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collaborators. Misconduct by these parties could include intentional failures to comply with the regulations of the FDA and non-US regulators, to provide accurate information to the FDA and non-US regulators, to comply with healthcare fraud and abuse laws and regulations in the United States and abroad, to report financial information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during clinical studies that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will continue to incur significant costs as a result of operating as a public company, and our management is required to devote substantial time to compliance initiatives.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we did not incur as a private company, including costs associated with public company reporting and corporate governance requirements, in order to comply with the rules and regulations imposed by the Sarbanes-Oxley Act and the Dodd-Frank Wall Street Reform and Consumer Protection (the “Dodd-Frank Act”), as well as rules implemented by the SEC and Nasdaq. Stockholder activism, the political environment and the current high level of government intervention and regulatory reform may lead to substantial new regulations and disclosure obligations, which may lead to additional compliance costs and impact the manner in which we operate our business in ways that are not currently anticipated. Our management and other personnel need to devote a substantial amount of time to these compliance initiatives. In addition, these rules and regulations make it difficult and expensive for us to obtain director and officer liability insurance, and we may be required to incur substantial costs to maintain our current levels of such coverage. We expect that we will annually incur significant expenses to comply with the requirements imposed on us as a public company.</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offices are located in the San Francisco Bay Area, which is prone to earthquakes. 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that, particularly when taken together with our lack of earthquake insurance, could have a material adverse effect on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protect or enforce intellectual property rights related to our product candidates, we may not be able to compete effectively in our markets.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The strength of patents in the biotechnology and pharmaceutical field involves complex legal and scientific questions and can be uncertain. Third parties may challenge the validity, enforceability or scope of our patents, which may result in those patents being narrowed or invalidated. The patent applications that we own may fail to result in issued patents with claims that cover our product candidates in the United States or in other foreign countries. The current conflict between Russia and Ukraine may make it difficult or impossible to continue to prosecute patent applications or maintain patents in those countries or other affected territories. Furthermore, even if they are unchallenged, our patents and patent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applications may not adequately protect our intellectual property, provide exclusivity for our product candidates or prevent others from designing around our claims. Certain of our patents also cover processes, for which enforcement can be difficult. Any of these outcomes could impair our ability to prevent competition from third parties that may have an adverse impact on our business.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patents or patent applications we hold or have in-licensed for our programs or product candidates are invalidated or fail to issue, if their breadth or strength of protection is threatened, or if they fail to provide meaningful exclusivity for our product candidates, it could threaten our ability to commercialize future products. Further, if we encounter delays in regulatory approvals, the period of time during which we could market a product candidate under patent protection could be reduced.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and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In addition, others may independently discover our trade secrets and proprietary information.</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Third-party claims of intellectual property infringement or challenging the inventorship or ownership of our patents may prevent or delay our development and commercialization efforts.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USPTO, and corresponding foreign patent offices. Numerous U.S. and foreign issued patents and pending patent applications, which are owned by third parties, exist in the fields in which we are pursuing development candidates. As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40"/>
        <w:spacing w:after="0" w:line="282" w:lineRule="auto"/>
        <w:rPr>
          <w:sz w:val="20"/>
          <w:szCs w:val="20"/>
          <w:color w:val="auto"/>
        </w:rPr>
      </w:pPr>
      <w:r>
        <w:rPr>
          <w:rFonts w:ascii="Times New Roman" w:cs="Times New Roman" w:eastAsia="Times New Roman" w:hAnsi="Times New Roman"/>
          <w:sz w:val="18"/>
          <w:szCs w:val="18"/>
          <w:color w:val="auto"/>
        </w:rPr>
        <w:t>biotechnology and pharmaceutical industries expand and more patents are issued, the risk increases that our product candidates may be subject to claims of infringement of the patent rights of third parties.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may assert that the manufacture, use or sale of our product candidates infringes patents held by such third parties, or that we are employing their proprietary technology without authorization. There may be third-party patents or patent applications with claims to compositions of matter,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There is a patent family pending in the U.S. in which claims that may read on MarzAA have been filed. We, however, do not believe such claims are patentable. If they were to issue, we would take appropriate action to challenge their enforceability and/or validity. We are also aware of additional patents that have issued in the United States and Europe that have claims related to Factor VII. We do not believe that MarzAA does or will infringe any valid claims in such patents.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we have received confidential and proprietary information from third parties, and we employ individuals who were previously employed at other biotechnology or pharmaceutical companies. We may be subject to claims that our employees, consultants or independent contractors have inadvertently or otherwise used or disclosed confidential information of these third parties or our employees’ former employers. Litigation may be necessary to defend against these claims.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that could effectively block our ability to further develop and commercialize one or more of our product candidates unless we redesigned infringing products (which may be impossible) or obtained a license under the applicable patents (which may not be available on commercially reasonable terms or at all), or until such patents expire.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involved in lawsuits to protect or enforce our patents.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or our collaborators may be required to file infringement claims that can be expensive and time-consuming. In addition, in an infringement proceeding, a court may decide that one of our patents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from the prevailing party. Our business could be harmed if the prevailing party does not offer us a license on commercially reasonable terms. We may not be able to prevent, alone or with our licensors, misappropriation of our intellectual property rights, particularly in countries where the laws may not protect those rights as fully as in the United States.</w:t>
      </w:r>
    </w:p>
    <w:p>
      <w:pPr>
        <w:spacing w:after="0" w:line="18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regardless of their merit, would cause us to incur significant expenses, and could distract our technical and management personnel from their normal responsibilities. In the event of a successful claim of infringement against us, we may have to pay substantial damages, including treble damages and attorneys’ fees for willful infringement, in addition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t>to paying royalties, redesign infringing products or obtain one or more licenses from third parties, which may be impossible or require substantial time and monetary expenditure.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license certain intellectual property from third parties, and such licenses may not be available or may not be available on commercially reasonable terms.</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third-party may hold intellectual property, including patent rights, that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our product candidates and other compliance matters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5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While we have multiple drug candidates in clinical and advanced preclinical development for a range of diseases, we have not yet submitted BLAs for our engineered human proteases to the FDA, or similar approval filings to comparable foreign authorities. Submission of a BLA requires extensive preclinical and clinical data and supporting information that demonstrates the product candidate’s safety, purity, and potency, also known as safety and effectiveness, for each desired indication. A BLA must also include significant information regarding the chemistry, manufacturing and controls for the product.</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However, failure of one or more clinical trials can occur at any stage in the clinical trial process. Accordingly, the regulatory pathway for our product candidates is still uncertain, complex, and lengthy, and ultimately, approval may not be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experience delays in completing planned clinical trials for a variety of reasons, including delays related to:</w:t>
      </w:r>
    </w:p>
    <w:p>
      <w:pPr>
        <w:spacing w:after="0" w:line="117"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117"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institutional review board (“IRB”);</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and</w:t>
      </w:r>
    </w:p>
    <w:p>
      <w:pPr>
        <w:spacing w:after="0" w:line="117" w:lineRule="exact"/>
        <w:rPr>
          <w:rFonts w:ascii="Times New Roman" w:cs="Times New Roman" w:eastAsia="Times New Roman" w:hAnsi="Times New Roman"/>
          <w:sz w:val="18"/>
          <w:szCs w:val="18"/>
          <w:color w:val="auto"/>
        </w:rPr>
      </w:pPr>
    </w:p>
    <w:p>
      <w:pPr>
        <w:ind w:left="880" w:right="32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Current Good Manufacturing Practice (“cGMPs”) regulations and applying them on a subject-by-subject basis for use in clinical trials.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could also experience delays in obtaining approval if physicians encounter unresolved ethical issues associated with enrolling patients in clinical trials of our product candidates in lieu of prescribing existing treatments that have established safety and efficacy profiles given the serious nature of the diseases for the core indications for our product candidates. Additionally, a clinical trial may be suspended or terminated by us, the IRBs for the institutions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t>in which the trials are being conducted, the Data Monitoring Committee for the trial, or by the FDA or other regulatory authorities for a number of reasons,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In addition, the FDA review and approval process could be delayed by any future shutdown of the U.S. government, and our development activities could be harmed or delayed as a result. If we experience termination of, or delays in the completion of, any clinical trial of our product candidates, our ability to commercialize our product candidates will be harmed and our ability to generate revenue will be materially impaired. Additionally, delays in completing trials will increase costs, slow down our product development and approval process, and impair our ability to commence product sales and generate revenue. Many of the factors that could create or lead to a delay in the commencement or completion of clinical trials may lead to the denial of regulatory approval for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FDA may disagree with our regulatory plan and we may fail to obtain regulatory approval of our product candidates.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results of clinical trials we conduct may not support regulatory approval of our product candidates. Our product candidates could fail to receive regulatory approval for many reasons, including the following:</w:t>
      </w:r>
    </w:p>
    <w:p>
      <w:pPr>
        <w:spacing w:after="0" w:line="54" w:lineRule="exact"/>
        <w:rPr>
          <w:sz w:val="20"/>
          <w:szCs w:val="20"/>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authorities that our product candidates are safe and effective for any of their proposed indications;</w:t>
      </w:r>
    </w:p>
    <w:p>
      <w:pPr>
        <w:spacing w:after="0" w:line="53"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jc w:val="both"/>
        <w:ind w:left="880" w:right="440" w:hanging="440"/>
        <w:spacing w:after="0" w:line="266"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26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would market, sell and distribute our products. As a pharmaceutical company, even though we do not and may not control referrals of healthcare services or bill directly to Medicare, Medicaid or other third-party payors, federal and state healthcare laws and regulations pertaining to fraud and abuse and patients’ rights are and will be applicable to our business. These regulations include: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ind w:left="880" w:right="220" w:hanging="440"/>
        <w:spacing w:after="0" w:line="258"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that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and which will constrain our marketing practices and the marketing practices of our licensees, educational programs, pricing policies, and relationships with healthcare providers or other entities;</w:t>
      </w:r>
    </w:p>
    <w:p>
      <w:pPr>
        <w:spacing w:after="0" w:line="75" w:lineRule="exact"/>
        <w:rPr>
          <w:rFonts w:ascii="Times New Roman" w:cs="Times New Roman" w:eastAsia="Times New Roman" w:hAnsi="Times New Roman"/>
          <w:sz w:val="18"/>
          <w:szCs w:val="18"/>
          <w:color w:val="auto"/>
        </w:rPr>
      </w:pPr>
    </w:p>
    <w:p>
      <w:pPr>
        <w:ind w:left="880" w:right="16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prohibition, commonly known as the Stark Law, which prohibits physicians from referring Medicare or Medicaid patients to providers of “designated health services” with whom the physician or a member of the physician’s immediate family has an ownership interest or compensation arrangement, unless a statutory or regulatory exception applies;</w:t>
      </w:r>
    </w:p>
    <w:p>
      <w:pPr>
        <w:spacing w:after="0" w:line="67" w:lineRule="exact"/>
        <w:rPr>
          <w:rFonts w:ascii="Times New Roman" w:cs="Times New Roman" w:eastAsia="Times New Roman" w:hAnsi="Times New Roman"/>
          <w:sz w:val="18"/>
          <w:szCs w:val="18"/>
          <w:color w:val="auto"/>
        </w:rPr>
      </w:pPr>
    </w:p>
    <w:p>
      <w:pPr>
        <w:ind w:left="880" w:hanging="440"/>
        <w:spacing w:after="0" w:line="258"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that prohibit, among other things, individuals or entities from knowingly presenting, or causing to be presented, claims for payment from Medicare, Medicaid, or other government reimbursement programs that are false or fraudulent, and which may expose entities that provide coding and billing advice to customers to potential criminal and civil penalties, including through civil whistleblower or qui tam actions, and including as a result of claims presented in violation of the Federal Healthcare Anti-Kickback Statute, the Stark Law or other healthcare-related laws, including laws enforced by the FDA;</w:t>
      </w:r>
    </w:p>
    <w:p>
      <w:pPr>
        <w:spacing w:after="0" w:line="75" w:lineRule="exact"/>
        <w:rPr>
          <w:rFonts w:ascii="Times New Roman" w:cs="Times New Roman" w:eastAsia="Times New Roman" w:hAnsi="Times New Roman"/>
          <w:sz w:val="18"/>
          <w:szCs w:val="18"/>
          <w:color w:val="auto"/>
        </w:rPr>
      </w:pPr>
    </w:p>
    <w:p>
      <w:pPr>
        <w:ind w:left="880" w:right="140" w:hanging="440"/>
        <w:spacing w:after="0" w:line="25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 that, as amended by the Health Information Technology for Economic and Clinical Health Act (“HITECH”), also imposes obligations, including mandatory contractual terms, with respect to safeguarding the privacy, security and transmission of individually identifiable health information;</w:t>
      </w:r>
    </w:p>
    <w:p>
      <w:pPr>
        <w:spacing w:after="0" w:line="79" w:lineRule="exact"/>
        <w:rPr>
          <w:rFonts w:ascii="Times New Roman" w:cs="Times New Roman" w:eastAsia="Times New Roman" w:hAnsi="Times New Roman"/>
          <w:sz w:val="18"/>
          <w:szCs w:val="18"/>
          <w:color w:val="auto"/>
        </w:rPr>
      </w:pPr>
    </w:p>
    <w:p>
      <w:pPr>
        <w:ind w:left="880" w:right="100" w:hanging="440"/>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physician sunshine requirements under the ACA, which requires manufacturers of approved drugs, devices, biologics and medical supplies to report annually to the U.S. Department of Health and Human Services or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71"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product marketing, prohibits manufacturers from marketing drug products for off-label use and regulates the distribution of drug samples; and</w:t>
      </w:r>
    </w:p>
    <w:p>
      <w:pPr>
        <w:spacing w:after="0" w:line="53" w:lineRule="exact"/>
        <w:rPr>
          <w:rFonts w:ascii="Times New Roman" w:cs="Times New Roman" w:eastAsia="Times New Roman" w:hAnsi="Times New Roman"/>
          <w:sz w:val="18"/>
          <w:szCs w:val="18"/>
          <w:color w:val="auto"/>
        </w:rPr>
      </w:pPr>
    </w:p>
    <w:p>
      <w:pPr>
        <w:ind w:left="880" w:right="60" w:hanging="440"/>
        <w:spacing w:after="0" w:line="255"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sales or marketing arrangements and claims involving healthcare items or services reimbursed by non-governmental third-party payors, including private insurers, state laws requiring pharmaceutical companies to comply with the pharmaceutical industry’s voluntary compliance guidelines and the relevant compliance guidance promulgated by the federal government and which may require drug manufacturers to report information related to payments and other transfers of value to physicians and other healthcare providers or marketing expenditures, and state and foreign laws governing the privacy and security of health information in specified circumstances, many of which differ from each other in significant ways and often are not preempted by federal laws such as HIPAA, thus complicating compliance efforts.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right="100"/>
        <w:spacing w:after="0" w:line="266" w:lineRule="auto"/>
        <w:rPr>
          <w:sz w:val="20"/>
          <w:szCs w:val="20"/>
          <w:color w:val="auto"/>
        </w:rPr>
      </w:pPr>
      <w:r>
        <w:rPr>
          <w:rFonts w:ascii="Times New Roman" w:cs="Times New Roman" w:eastAsia="Times New Roman" w:hAnsi="Times New Roman"/>
          <w:sz w:val="18"/>
          <w:szCs w:val="18"/>
          <w:color w:val="auto"/>
        </w:rPr>
        <w:t>such as Medicare and Medicaid, and the curtailment or restructuring of our operations. If any physicians or other healthcare providers or entities with whom we expect to do business are found to not be in compliance with applicable laws, they may be subject to criminal, civil or administrative sanctions, including exclusions from government funded healthcare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adversely affected by current and potential future healthcare legislative and regulatory actions.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Legislative and regulatory actions affecting government prescription drug procurement and reimbursement programs occur relatively frequently. In the United States, the ACA was enacted in 2010 to expand healthcare coverage. Since then, numerous efforts have been made to repeal, amend or administratively limit the ACA in whole or in part. For example, the Tax Cuts and Jobs Act, signed into law by President Trump in 2017, repealed the individual health insurance mandate, which is considered a key component of the ACA. In December 2018, a Texas federal district court struck down the ACA on the grounds that the individual health insurance mandate is unconstitutional, although this ruling has been stayed pending appeal. The ongoing challenges to the ACA and new legislative proposals have resulted in uncertainty regarding the ACA’s future viability and destabilization of the health insurance market. The resulting impact on our business is uncertain and could be material.</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Efforts to control prescription drug prices could also have a material adverse effect on our business. For example, in 2018, President Trump and the Secretary of the U.S. Department of Health and Human Services (“HHS”) released the “American Patients First Blueprint” and have begun implementing certain portions. The initiative includes proposals to increase generic drug and biosimilar competition, enable the Medicare program to negotiate drug prices more directly and improve transparency regarding drug prices and ways to lower consumers’ out-of-pocket costs. The Trump administration also proposed to establish an “international pricing index” that would be used as a benchmark to determine the costs and potentially limit the reimbursement of drugs under Medicare Part B. Among other pharmaceutical manufacturer industry-related proposals, Congress has proposed bills to change the Medicare Part D benefit to impose an inflation-based rebate in Medicare Part D and to alter the benefit structure to increase manufacturer contributions in the catastrophic phase. The volume of drug pricing-related bills has dramatically increased under the current Congress, and the resulting impact on our business is uncertain and could be material.</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in 2017, California’s governor signed a prescription drug price transparency state bill into law, requiring prescription drug manufacturers to provide advance notice and explanation for price increases of certain drugs that exceed a specified threshold. Both Congress and state legislatures are considering various bills that would reform drug purchasing and price negotiations, allow greater use of utilization management tools to limit Medicare Part D coverage, facilitate the import of lower-priced drugs from outside the United States and encourage the use of generic drugs. Such initiatives and legislation may cause added pricing pressures on our products.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Changes to the Medicaid program at the federal or state level could also have a material adverse effect on our business. Proposals that could impact coverage and reimbursement of our products, including giving states more flexibility to manage drugs covered under the Medicaid program and permitting the re-importation of prescription medications from Canada or other countries, could have a material adverse effect by limiting our products’ use and coverage. Furthermore, state Medicaid programs could request additional supplemental rebates on our products as a result of an increase in the federal base Medicaid rebate. To the extent that private insurers or managed care programs follow Medicaid coverage and payment developments, they could use the enactment of these increased rebates to exert pricing pressure on our products, and the adverse effects may be magnified by their adoption of lower payment schedules.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proposed regulatory actions affecting manufacturers could have a material adverse effect on our business. It is difficult to predict the impact, if any, of any such proposed legislative and regulatory actions or resulting state actions on the use and reimbursement of our products in the United States, but our results of operations may be adversely affected.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51" w:name="page52"/>
    <w:bookmarkEnd w:id="51"/>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evolving privacy and data protection laws, including HIPAA and the EU General Data Protection Regulation (“GDPR”). If we fail to protect personal information or comply with existing or future data protection regulations, our business, financial condition, results of operations and prospects may be materially adversely affected.</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privacy, confidentiality, security, availability, integrity, and other processing of personal information.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By virtue of our clinical trial activities in Europe, we are also subject to European data protection laws, including the GDPR (as implemented in the European Economic Area (the “EEA”) and the United Kingdom). The GDPR which came into effect on May 25, 2018, establishes stringent requirements applicable to the processing of personal data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data which identifies an individual or from which an individual is identifiable), affords various data protection rights to individuals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erasure of personal data) and imposes potential penalties for serious breaches of up to 4.0% annual worldwide turnover or €20 million, whichever is greater. Individuals (e.g., study subjects) also have a right to compensation for financial or non-financial losses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distress). There may be circumstances under which a failure to comply with the GDPR, or the exercise of individual rights under the GDPR, would limit our ability to utilize clinical trial data collected on study subjects. The GDPR imposes additional responsibility and liability in relation to our processing of personal data. This may be onerous and materially adversely affect our business, financial condition, results of operations and prospects. The GDPR also prohibits the international transfer of personal data from the EEA/UK to countries outside of the EEA/United Kingdom unless made to a country deemed to have adequate data privacy laws by the European Commission or a data transfer mechanism has been put in place.</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are subject to various U.S. state laws which may require us to modify our data processing practices and policies and to incur substantial costs and expenses in an effort to comply.</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2" w:name="page53"/>
    <w:bookmarkEnd w:id="52"/>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Current or future environmental laws and regulations may impair our research, development or production efforts that could adversely affect our business, financial condition, results of operations or prospects. In addition, failure to comply with these laws and regulations may result in substantial fines, penalties or other sanctions.</w:t>
      </w:r>
    </w:p>
    <w:p>
      <w:pPr>
        <w:spacing w:after="0" w:line="284"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regulatory approvals could be revoked or otherwise negatively impacted, and we could be subject to costly and damaging product liability claims.</w:t>
      </w:r>
    </w:p>
    <w:p>
      <w:pPr>
        <w:spacing w:after="0" w:line="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5"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carry product liability insurance of $10,000,000 per occurrence and $10,000,000 aggregate limit. We believe our product liability insurance coverage is sufficient for our current clinical programs; however, we may not be able to maintain insurance coverage at a reasonable cost or in sufficient amounts to protect us against losses due to liability. If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insurance coverage, could adversely affect our results of operations and business.</w:t>
      </w:r>
    </w:p>
    <w:p>
      <w:pPr>
        <w:spacing w:after="0" w:line="1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Patients with the diseases targeted by our product candidates are often already in severe and advanced stages of disease and have both known and unknown significant pre-existing and potentially life-threatening health risks. During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results of operations, or cash flows.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3" w:name="page54"/>
    <w:bookmarkEnd w:id="53"/>
    <w:p>
      <w:pPr>
        <w:ind w:right="440"/>
        <w:spacing w:after="0" w:line="262" w:lineRule="auto"/>
        <w:rPr>
          <w:sz w:val="20"/>
          <w:szCs w:val="20"/>
          <w:color w:val="auto"/>
        </w:rPr>
      </w:pPr>
      <w:r>
        <w:rPr>
          <w:rFonts w:ascii="Times New Roman" w:cs="Times New Roman" w:eastAsia="Times New Roman" w:hAnsi="Times New Roman"/>
          <w:sz w:val="18"/>
          <w:szCs w:val="18"/>
          <w:b w:val="1"/>
          <w:bCs w:val="1"/>
          <w:color w:val="auto"/>
        </w:rPr>
        <w:t>We identified a material weakness in our internal control over financial reporting in our consolidated financial statements for the year ended December 31, 2021.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share price.</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and audit of our consolidated financial statements for the year ended December 31, 2021, a material weakness was identified in our internal control over financial reporting. A material weakness is a deficiency, or combination of deficiencies, in internal control over financial reporting such that there is a reasonable possibility that a material misstatement of our consolidated financial statements will not be prevented or detected on a timely basis. Our material weakness related to the following control deficiency: we did not design and maintain effective controls related to the review of certain contracts, including the proper application of U.S. GAAP. Specifically, we did not design and maintain controls to properly review the retention bonuses granted to our employees in November 2021 after our reduction in workforce to assess the appropriate accounting treatment under U.S. GAAP.</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address our material weakness, we are evaluating our accounting policy over monitoring and reviewing contracts so that contracts with a significant impact are reviewed and U.S. GAAP is properly applied. We are also formalizing our internal control documentation and strengthening supervisory reviews by our management. 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believe these efforts will remediate the material weakness, we may not be able to complete our evaluation, testing or any required remediation in a timely fashion, or at all. We cannot assure you that the measures we have taken to date and may take in the future, will be sufficient to remediate the control deficiency that led to our material weakness in internal control over financial reporting or that we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 or identify additional material weaknesses in the future,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commercialization of our product candidates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we may nonetheless fail to gain sufficient market acceptance by physicians, patients, third-party payors and others in the medical community. For example, current hemophilia treatments like intravenous NovoSeven RT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75"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subcutaneous efficacy and potential advantages compared with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subcutaneous administration compared with alternative treatments;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are years away from regulatory approval.</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development candidates are not expected to be commercially available for several years, if at all. Further, the commercial success of either product candidate will depend upon its acceptance by physicians, individuals, third-party payors and other key decision-makers as a therapeutic and cost-effective alternative to products available at the time, which may include competing products currently under development by others. See “We face substantial competition that may result in others discovering, developing or commercializing products before or more successfully than we do.” If we are unable to successfully develop, obtain regulatory approval in a timely manner (including due to reasons that are beyond our control, such as changes in regulations or a shutdown of the federal government, including the FDA) and commercialize our development candidates, our ability to generate revenue from product sales will be significantly delayed and our business will be materially and adversely affected, and we may not be able to earn sufficient revenues to continue as a going concern.</w:t>
      </w:r>
    </w:p>
    <w:p>
      <w:pPr>
        <w:spacing w:after="0" w:line="1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Even if the FDA or other regulatory agency approves our product candidates, the approval may impose significant restrictions on the indicated uses, conditions for use, labeling, advertising, promotion, marketing and/or production of such product and may impose ongoing commitments or requirements for post-approval studies, including additional research and development and clinical trials. The FDA and other agencies also may impose various civil or criminal sanctions for failure to comply with regulatory requirements, including withdrawal of product approval. Regulatory approval from authorities in foreign countries will be needed to market our product candidates in those countries. Approval by one regulatory authority does not ensure approval by regulatory authorities in other jurisdictions. If we fail to obtain approvals from foreign jurisdictions, the geographic market for our product candidates would be limited.</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establish sales, marketing and distribution capabilities, we may not be successful in commercializing our product candidates if they are approved.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yet established a sales, marketing or product distribution infrastructure for our product candidates, which are still in preclinical or early clinical development. We have not yet developed a commercial strategy for our product candidates. To achieve commercial success for any product for which we obtain marketing approval, we will need to establish a sales and marketing organization within the United States and develop a strategy for sales outside of the United States.</w:t>
      </w:r>
    </w:p>
    <w:p>
      <w:pPr>
        <w:spacing w:after="0" w:line="18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There are risks involved with establishing internal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If we are unable to establish sales, marketing and distribution capabilities and enter into additional arrangements with third parties to perform these services, then our product revenues and profitability, if any, are likely to be lower than if we were to market, sell and distribute any products that we develop ourselves.</w:t>
      </w:r>
    </w:p>
    <w:p>
      <w:pPr>
        <w:spacing w:after="0" w:line="2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face substantial competition that may result in others discovering, developing or commercializing products before or more successfully than we do.</w:t>
      </w:r>
    </w:p>
    <w:p>
      <w:pPr>
        <w:spacing w:after="0" w:line="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potential competition from many different sources, including major pharmaceutical, specialty pharmaceutical and biotechnology companies, academic institutions and governmental agencies, and public and private research institutions. Any product candidates that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successfully develop and commercialize will compete with existing therapies and new therapies that may become available in the future.</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Although there are no currently approved treatments for dry AMD, several companies are developing cyclic peptide, aptamer, antibody or gene therapy based anti-complement product candidates in clinical studies. Apellis is conducting two Phase 3 studies to compare the efficacy and safety of intravitreal APL-2 therapy with sham injections in patients aged 60 years and older with GA secondary to AMD; Iveric Bio (formerly Ophthotech) is developing two therapies to treat GA secondary to dry AMD, iveric Bio completed its Phase 2b clinical of Zimura® (avacincaptad pegol) with positive data in patients with dry AMD; Gemini Therapeutics is developing “GEM103” a recombinant human complement factor H (“FH”) for patients with genetically well-defined dry AMD and “GEM104,” a recombinant human complement factor I as well as additional molecules in preclinical development for other genetically defined subpopulations of patients with dry AMD, Gyroscope Therapeutics is developing “GT005” a gene therapeutic approach to expressing additional CFI in the patient’s eye after subretinal delivery, and NGM Biopharmaceuticals is expecting topline data from the Phase 2a study (CATALINA) to evaluate the safety and efficacy of intravitreal NGM621 in the fourth quarter of 2022. NGM621 is a C3-targeting monoclonal antibody being developed to treat geographic atropy secondary to AMD. In addition, there are currently no approved agents specifically targeting systemic factor I deficiency patients irrespective of the resultant disease phenotype being aHUS, C3G, IC-MPGN, invasive infections or any other or any approved therapies for C3G and IC-MPGN. However, there are less specific treatment options on the market or in clinical development which may be applicable to some disease manifestations of systemic CFI deficiency, for instance aHUS and C3G. These treatment options include: eculizumab and ravulizumab marketed by Alexion Pharmaceuticals (a division of AstraZeneca) for use in aHUS irrespective of the patients’ CFI status; APL-2 (pegcetacoplan), a pegylated peptide based C3 inhibitor, in IgA Nephropathy (“IgAN”), LN, Membranous Nephropathy (“MN”), C3G, and Dense Deposit Disease which is in clinical development by Apellis; TAVENOS (avacopan), a twice daily oral small molecule inhibitor of the complement 5a receptor (“C5aR”) in C3G currently marketed by ChemoCentryx for use in combination with other standard of care such as glucocorticoids to treat adults with severe active anti-neutrophil cytoplasmic autoantibody (ANCA)-associated vasculitis, and being is further being developed for in C3G and Hidradenitis Suppurativa (“HS”) in ongoing phase 2 studies; iptacopan (“LNP023”), a small peptide complement factor B inhibitor which is currently in development by Novartis for PNH, C3G and several other rare renal diseases including IgAN, aHUS, and membranous nephropathy; Omeros has initiated clinical activities in igAN, LN, MN, &amp; C3G and a phase 3 clinical program in aHUS with OMS721 (“narsoplimab”), a human monoclonal antibody targeting mannan-binding lectin-associated serine protease-2 (“MASP-2”), the effector enzyme of the lectin pathway of the complement system; and Argenx is developing ARGX-117, a humanized antibody targeting complement compenent 2 (“C2”) intended to inhibit the function of C2 and downstream complement activation. ARGX-117 is currently in a Phase 1 study for Multifocal Motor Neuropathy (“MMN”).</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commercial opportunity in different indications could be reduced or eliminated if competitors develop and market products or therapies that are more convenient to use, more effective, less expensive, and safer to use than our products. Furthermore, if competitors gain FDA approval earlier than we do, we may be unable to establish a strong market presence or to gain market share. The key competitive factors affecting the success of all our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individual registration for clinical trials, as well as in acquiring technologies complementary to, or necessary for, our programs.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Even if we commercialize any product candidates, the products may become subject to unfavorable pricing regulations, third-party reimbursement practices or healthcare reform initiatives that would harm our business.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certain medications. Increasingly, third-party payors are requiring that drug companies provide them with predetermined discounts from list prices and are challenging the prices charged for medical products. Coverage and reimbursement may not be available for any product that we or our collaborators commercialize and, even if these are available, the level of reimbursement may not be satisfactory. Reimbursement may affect the demand for, or the price of, any product candidate that receives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spacing w:after="0" w:line="261" w:lineRule="auto"/>
        <w:rPr>
          <w:sz w:val="20"/>
          <w:szCs w:val="20"/>
          <w:color w:val="auto"/>
        </w:rPr>
      </w:pPr>
      <w:r>
        <w:rPr>
          <w:rFonts w:ascii="Times New Roman" w:cs="Times New Roman" w:eastAsia="Times New Roman" w:hAnsi="Times New Roman"/>
          <w:sz w:val="18"/>
          <w:szCs w:val="18"/>
          <w:color w:val="auto"/>
        </w:rPr>
        <w:t>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has become very intense. As a result, increasingly high barriers are being erected to the entry of new products.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our product candidates are smaller than expected, our revenues may be adversely affected and our business may suffer.</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focus our research and product development on hemostasis and inflammation treatment. Our projections of both the number of people who suffer from related conditions, as well as the subset of people with these conditions who have the potential to benefit from treatment with our product candidates, are based on estimates. These estimates may prove to be incorrect and new studies may change the estimated incidence or prevalence of these diseases. The number of patients in the United States, Europe and elsewhere may turn out to be lower than expected or may not be otherwise amenable to treatment with our products, or new patients may become increasingly difficult to identify or gain access to, all of which would adversely affect our results of operations and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historically been highly volatile.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historically been highly volatile and there have been significant periods of time in which the trading volume of our common stock has been low, which can contribute to volatility in price. Additionally, the stock market in general has experienced extreme price and volume fluctuations. The market prices of securities of pharmaceutical, biopharmaceutical and biotechnology companies in particular have been extremely volatile and have experienced fluctuations that have often been unrelated or disproportionate to operating performance. Factors giving rise to this volatility may include:</w:t>
      </w:r>
    </w:p>
    <w:p>
      <w:pPr>
        <w:spacing w:after="0" w:line="75"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clinical trial results;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 in both the United States and abroad;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new collaborations or other strategic transactions;</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about the safety or efficacy of product candidates or technology, their components, or related technology or new technologies generally;</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by competitors or others regarding new products or new product candidates;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comments by securities analysts and investors.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operating results could adversely affect the price of our common stock.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operating results are likely to fluctuate significantly from quarter to quarter and year to year. These fluctuations could cause our stock price to decline. Some of the factors that may cause operating results to fluctuate on a period-to-period basis include the scope, progress, duration results and costs of preclinical and clinical development programs, as well as non-clinical studies and assessments of product candidates and programs, restructuring costs, implementation or termination of collaboration, licensing, manufacturing or other material agreements with third parties, non-recurring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t>revenue or expenses under any such agreement, the cost, timing and outcomes of regulatory compliance, approvals or other regulatory actions and general and industry-specific economic conditions, particularly as affects the pharmaceutical, biopharmaceutical or biotechnology industries in the United States. Period-to-period comparisons of our historical and future financial results may not be meaningful, and investors should not rely on them as an indication of future performance. Fluctuating losses may fail to meet the expectations of securities analysts or investors. Failure to meet these expectations may cause the price of our common stock to decline.</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Sales of a significant number of shares of our common stock in the public markets, or the perception that such sales could occur, could depress the market price of our common stock.</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current trading volumes are modest, and sales of a substantial number of shares of our common stock in the public market, or the perception that these sales could occur, could cause the market price to decline. We have effective registration statements on Form S-3 that enables us to sell up to $150.0 million of securities in one or more offerings, subject to limitations under applicable SEC rules, including up to $50.0 million of common stock issuable under our Equity Distribution Agreement with Piper Sandler &amp; Co. Any additional sales in the public market of our common stock or other securities under these shelf registration statements could adversely affect prevailing market prices for our common stock. In addition, we have outstanding options to purchase 2,603,630 shares of common stock at a weighted average exercise price of $7.70 as of December 31, 2021. If such options are exercised and the shares are sold into the open market, such sales also might make it more difficult for us to sell equity securities in the future at a time and at a price that we deem appropriate. Conversion or exercise of these securities into shares of our common stock will cause dilution to the other holders of our common stock, and all such stock may be sold in the public market after conversion or exercise, subject to restrictions under the securities laws, which may lead to a decline in the market price of our common stock.</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provisions of Delaware law may make an acquisition more difficult and could result in the entrenchment of management.</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incorporated in Delaware. Anti-takeover provisions of Delaware law and our charter documents may make a change in control or efforts to remove management more difficult. Also, under Delaware law, our board of directors may adopt additional anti-takeover measures. The existence of the following provisions of Delaware law and our restated certificate of incorporation and amended and restated bylaws could limit the price that investors might be willing to pay in the future for shares of our common stock.</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authorizes our board of directors to issue up to 5,000,000 shares of preferred stock and to determine the terms of those shares of stock without any further action by our stockholders. If the board of directors exercises this power to issue preferred stock, it could be more difficult for a third-party to acquire a majority of our outstanding voting stock and vote the stock they acquire to remove management or directors.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restated certificate also provides staggered terms for the members of our board of directors, and that directors may be removed by stockholders only by vote of the holders of 66 2/3% of voting shares then outstanding. In addition, our amended and restated bylaws do not permit stockholders to call special or annual meetings of stockholders, or to act by written consent without a meeting. These provisions may prevent stockholders from replacing the entire board in a single proxy contest, making it more difficult for a third party to acquire control without the consent of our board of directors. These provisions could also delay the removal of management by the board of directors with or without cause.</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certain Delaware anti-takeover provisions. Under Delaware law, a publicly-held corporation may not engage in a business combination with any holder of 15% or more of our voting stock unless the holder has held the stock for three years or, among other things, the board of directors has approved the transaction. Our board of directors could rely on Delaware law to prevent or delay an acquisition.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stockholders, and such activism could impact the trading value of our securities.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One of our stockholders, on behalf of himself and certain other stockholders, has requested that we add three individuals to our board of directors to replace existing directors and take steps to declassify our board of directors. Although we have engaged in negotions with this stockholder to reach an agreement regarding his requests, we may not be able to do so, and this stockholder may engage in proxy solicitations and submit proposals for consideration at our upcoming annual meeting. Such an activist campaign could conflict with our strategic direction or seek changes in the composition of our board of directors and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strategy, or limit our ability to attract and retain qualified personnel,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29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we cannot be certain if the reduced disclosure requirements applicable to smaller reporting companies will make our common stock less attractive to investors.</w:t>
      </w:r>
    </w:p>
    <w:p>
      <w:pPr>
        <w:spacing w:after="0" w:line="5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have been a “smaller reporting company” as defined in the Securities Exchange Act of 1934, as amended (the “Exchange Act”), and thus have been allowed to provide simplified executive compensation disclosures in our filings. We have also had certain other decreased disclosure obligations in our SEC filings. We cannot predict whether investors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0" w:name="page61"/>
    <w:bookmarkEnd w:id="60"/>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South San Francisco, California, where we lease approximately 16,208 rentable square feet of office space. We also lease lab space in South San Francisco, California, for our research and development work, where we lease approximately 2,630 square feet of space. The leases will expire on April 30,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announced on November 12, 2021, we decided to downsize our office space and are actively looking for a tenant to sublease a portion of the rented space.</w:t>
      </w:r>
    </w:p>
    <w:p>
      <w:pPr>
        <w:spacing w:after="0" w:line="2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operating results, financial condition or cash flows.</w:t>
      </w:r>
    </w:p>
    <w:p>
      <w:pPr>
        <w:spacing w:after="0" w:line="28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80" w:right="180" w:hanging="1173"/>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Catalyst Biosciences, Inc. is listed on the Nasdaq Capital Market under the symbol “CBIO.”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25, 2022, there were approximately 80 holders of record of our common stock. In addition, a substantially greater number of stockholders may be “street name” or beneficial holders, whose shares are held of record by banks, brokers and other financial institutions.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 Use of Proceeds from Registered Securities; Issuer Purchases of Equity Securities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first quarter of 2021, we issued and sold 9,185,000 shares of our common stock, which included the partial exercise by the underwriters of their option to purchase additional shares, at the public offering price of $5.75 per share and received net proceeds of approximately $49.3 million, after deducting underwriting discounts and commissions of approximately $3.2 million and offering-related transaction costs of approximately $0.4 million. None of the expenses associated with the offering were paid to directors, officers, persons owning ten percent or more of any class of equity securities, or to their associates, or to our affiliates. Piper, Sandler &amp; Co., acted as sole lead active bookrunner and Raymond James &amp; Associates, Inc. acted as a bookrunner for the offering.</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public offering from that described in the prospectus filed by us with the SEC on May 3, 2021.</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15, 2021, we entered into an Equity Distribution Agreement (the “Equity Distribution Agreement”) with Piper Sandler &amp; Co. (“Piper Sandler”) under which we may offer and sell, from time to time in our sole discretion, shares of the Company’s common stock, par value $0.001 per share (the “Common Stock”), with aggregate gross sales proceeds of up to $50.0 million through an “at the market” equity offering program under which Piper Sandler will act as sales agent.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Equity Distribution Agreement, we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Equity Distribution Agreement, Piper Sandler may sell the shares by methods deemed to be an “at the market” offering as defined in Rule 415 promulgated under the Securities Act of 1933, as amended, including sales made through The Nasdaq Capital Market or any other trading market for the Common Stock.</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Equity Distribution Agreement provides that Piper Sandler will be entitled to compensation for its services equal to 3.0% of the gross proceeds of any shares of Common Stock sold through Piper Sandler under the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ind w:right="220"/>
        <w:spacing w:after="0" w:line="258" w:lineRule="auto"/>
        <w:rPr>
          <w:sz w:val="20"/>
          <w:szCs w:val="20"/>
          <w:color w:val="auto"/>
        </w:rPr>
      </w:pPr>
      <w:r>
        <w:rPr>
          <w:rFonts w:ascii="Times New Roman" w:cs="Times New Roman" w:eastAsia="Times New Roman" w:hAnsi="Times New Roman"/>
          <w:sz w:val="18"/>
          <w:szCs w:val="18"/>
          <w:color w:val="auto"/>
        </w:rPr>
        <w:t>Distribution Agreement and the Company will reimburse Piper Sandler for certain expenses incurred in connection with its services under the Equity Distribution Agreement, including up to $50,000 for legal expenses in connection with the establishment of the at-the-market offering. We have no obligation to sell any shares under the Equity Distribution Agreement, and may at any time suspend solicitation and offers under the Equity Distribution Agreement. The offering of shares pursuant to the Equity Distribution Agreement will terminate upon the earlier of (i) the sale of all shares subject to the Equity Distribution Agreement or (ii) termination of the Equity Distribution Agreement in accordance with its terms.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shelf registration statement on Form S-3 (File No. 333-253874), which was declared effective by the SEC on May 3, 2021. The Company filed a prospectus supplement, dated October 15, 2021 with the SEC in connection with the offer and sale of the shares pursuant to the Equity Distribution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included elsewhere in this Annual Report on Form 10-K. This discussion may contain forward-looking statements based upon current expectations that involve risks and uncertainties, including those set forth under the heading “Risk Factors” and elsewhere in this Annual Report on Form 10-K. Our actual results and the timing of selected events discussed below could differ materially from those expressed in, or implied by,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research and clinical development biopharmaceutical company focused on developing protease therapeutics to address unmet medical needs in disorders of the complement system or where complement components are associated with progression of the disease state. Proteases are an important class of enzymes, which are key natural regulators of many biological processes, including the complement system. We use our protease engineering platform to create improved or novel molecules for the treatment of diseases that result from dysregulation of the complement system. Our complement pipeline consists of a preclinical complement component 3 (“C3”) degrader program for geographic atrophy (“GA”) in dry age-related macular degeneration (“dAMD”), an improved Complement Factor I (“CFI”) protease, CB 4332, for subcutaneous (“SQ”) or intravitreal (“IVT”) therapy to restore complement homeostasis in disease of overactive complement of CFI deficiencies, and proteases from our ProTUNE™ C3b/C4b degrader and ImmunoTUNE™ C3a/C5a degrader platforms designed to target specific disorders of the complement or inflammatory pathways. Historically, we also used our protein engineering platform to develop potential therapies for coagulation disorders, including marzeptacog alfa (activated) (“MarzAA”), a SQ administered next-generation engineered coagulation Factor VIIa (“FVIIa”) for the treatment of episodic bleeding and prophylaxis in subjects with rare bleeding disorders, and dalcinonacog alfa (“DalcA”), a next-generation SQ FIX, both of which has shown sustained efficacy and safety in mid-stage clinical trials.</w:t>
      </w:r>
    </w:p>
    <w:p>
      <w:pPr>
        <w:spacing w:after="0" w:line="19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product candidates generated by our protease engineering platform are designed to have improved functional properties such as longer half-life, improved specificity and targeting, higher potency, and increased bioavailability. These characteristics potentially allow for improved safety and efficacy for SQ administration of recombinant complement regulators, or less frequently dosed intravitreal products than current therapeutics in development.</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current complement portfolio consists of the development candidates CB 4332 and CB 2782-PEG. CB 4332 is a wholly owned, first-in-class improved albumin-fused CFI molecule intended for prophylactic SQ or IVT administration in individuals with an imbalance in complement homeostasis or a CFI deficiency. CB 2782-PEG is a potential best-in-class C3 degrader product candidate in preclinical development for the treatment of dry AMD that we had licensed to Biogen. In March 2022, we re-acquired the full rights to CB 2782-PEG adding to our promising portfolio, which includes CB 4332 our enhanced CFI development candidate. We have several engineered protease programs in discovery or early non-clinical development. These programs all target diseases caused by deficient regulation of the complement system and inflammation.</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July 2021 we commenced patient enrollment in the screening (“CFI-001”) and natural history of disease (“CFI-002”) studies to assess CFI blood levels in patients who have diseases related to CFI deficiency and identify those who might benefit from CB 4332 treatment (“ConFIrm” and “ConFIdence” studies, respectively). As of February 2022, we have completed enrollment of these studies.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following table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49240" cy="25203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continue to experience operational and other challenges as a result of the COVID-19 global pandemic, which could delay or impact our development programs. See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Other Recent Developments and Item 1A - Risk Factors for further discussion of the current and expected impact on our business and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 Program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protease programs are designed to take advantage of nature’s natural complement regulators that restore complement homeostasis and potentially treat a variety of complement-mediated disorders. We have several protease programs currently in preclinical discovery or early non-clinical development. These programs target diseases caused by aberrant regulation of the complement system including both ocular programs, specifically for dry AMD, and systemic complement disorders, all of which are wholly owned by Catalyst.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complement system is an enzyme-based innate immune defense system with the primary role of protecting the body from pathogens. The system is naturally regulated by proteases which is the basis for our approach to addressing complement-driven diseases. Deficient or excessive activation of the complement system may lead to severe disorders, including microthrombotic, autoimmune and/or immune-complex diseases, severe infectious diseases, and degenerative ophthalmic or neurologic diseases affecting a variety of tissues and organ systems. The absence of regulation can cause the complement system to become self-destructive or not provide the necessary protection when needed. The protease therapeutic candidates generated by our platforms are designed to correct or restore the missing balance in the complement system that drives several diseases.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Proteases are uniquely poised to regulate key biological functions such as the complement system, either by promoting or limiting the cascade of events that leads to eventual clearing of foreign and damaged proteins, inflammation, and formation of the membrane attack complex, which is deposited on the surface of cells and drives their destruction. Compared with antibodies and small molecule inhibitors that generally require a sustained excess of therapeutic compound over that of the target, Catalyst’s protease therapeutic candidates are based on natural regulatory proteins that are capable of rapidly engaging and modulating large quantities of target molecules, as each protease molecule can degrade many target molecules over their effective lifetime. This means that our proteases are ideal for regulating high abundancy targets such as complement proteins in a way antibodies and small molecule inhibitors cannot.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spacing w:after="0" w:line="253" w:lineRule="auto"/>
        <w:rPr>
          <w:sz w:val="20"/>
          <w:szCs w:val="20"/>
          <w:color w:val="auto"/>
        </w:rPr>
      </w:pPr>
      <w:r>
        <w:rPr>
          <w:rFonts w:ascii="Times New Roman" w:cs="Times New Roman" w:eastAsia="Times New Roman" w:hAnsi="Times New Roman"/>
          <w:sz w:val="18"/>
          <w:szCs w:val="18"/>
          <w:color w:val="auto"/>
        </w:rPr>
        <w:t>CB 2782-PEG is an engineered pegylated C3 degrader previously licensed to Biogen that we designed with a best-in-class anti-C3 profile for geographic atrophy (“GA”) in dry AMD. Dry AMD is an ocular disease that leads to vision loss and blindness for which there is currently no approved therapy. CB 2782-PEG degrades C3 in the eye reducing the steady state level of C3 activity. It is expected that maintaining low C3 levels in the eye can significantly slow disease progression and vision loss in patients with dry AMD. We have demonstrated in preclinical non-human primate models that we have the potential to reduce C3 levels in humans based on modeling studies for up to 3 months with a single intravitreal injection. In September 2021, Apellis released the results of the DERBY and OAKS phase 3 trials for GA secondary to dry AMD, showing that once-monthly pegcetacoplan, a pegylated C3 targeted inhibitor, was safe and efficacious, meeting its primary endpoint in one trial and narrowly missing the primary endpoint in a second trial for reducing GA lesion growth over a 12-month period. Further subpopulation analyses demonstrated a greater effect of reducing GA lesion growth in those subjects with extrafoveal lesions at baseline. CB 2782-PEG provides a differentiated mechanism of action by degrading both C3 and one of its byproducts, C3a potentially offering not only less frequent dosing but a more efficacious mechanism than pegcetacoplan or other complement inhibitors in development for GA. In March 2022, Biogen terminated the license agreement and returned full rights to CB 2782-PEG.</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CB 4332 is an engineered albumin-fused version of the CFI protease with an extended half-life that can be dosed subcutaneously or intravitreally in individuals who would benefit from enhanced regulation of complement. CFI is the central regulator of the complement system and CB 4332 has the potential to address several mechanistically related diseases driven by complement imbalance such as: Lupus Nephritis (“LN”), Systemic Lupus Erythematosus (“SLE”), warm Autoimmune Hemolytic Anemia (“wAIHA”), atypical Hemolytic Uremic Syndrome (“aHUS”), C3 Glomerulonephritis (“C3G”), and Immune Complex Membranoproliferative Glomerulonephritis (“IC-MPGN”), dry AMD and complete CFI deficiency (“CFID”), a rare immunodeficiency primarily affecting children. These are severe, chronic, life-threatening diseases that result in a significantly decreased quality of life for the afflicted individual.</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CB 4332 can be dosed subcutaneously for systemic diseases and has the potential for infrequent IVT injections for ophthalmic indications. As a key complement regulator, CFI has the potential to be used in several complement dysregulated diseases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those associated with hyperactive complement) in which additional upstream regulation may prove more effective than inhibiting specific downstream targets such as C3 or C5, where many of current molecules in development are targeted.</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Individuals with complete or significant absence of endogenous CFI may present with a variety of disease manifestations, such as recurrent invasive infections with encapsulated bacteria, but these patients are also at risk of developing autoimmune and/or immune-complex diseases such as chronic inflammation of the blood vessels of the brain, spinal cord, heart, or kidneys. No CFI replacement therapy, including for prophylactic use, has been approved, and patients often receive supportive care with lifelong antibiotic treatment, which may cause a range of additional problems. We have received pre-IND guidance from the FDA as well as Rare Pediatric Disease Designation of CB 4332 for treatment of CFI deficiency in January 2022.</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Low circulating serum CFI levels have been shown to be associated with rare CFI genetic variants and all forms of AMD ranging from early to late-stage manifestations. Studies have estimated the prevalence rates of CFI deficiency in GA to be approximately 20%, suggesting that CFI is a prognostic biomarker for progression of GA. Approximately 1 million individuals globally are predicted to have low serum CFI levels and may potentially benefit from targeted CFI therapy. Gyroscope released interim results from its FOCUS phase 1/2a trial for patients with GA and having rare CFI variants, showing that gene therapy with GT005, an AAV-delivered CFI rebalanced the overactivation of complement observed in the vitreous with sustained expression of CFI. The FOCUS data also showed that AAV-delivered CFI reduced complement biomarkers in the broader GA population who do not have a rare CFI genetic variant.</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additional early-stage complement discovery programs that target different proteins of the complement system including proteases from our ProTUNE™ C3b/C4b degrader and ImmunoTUNE™ C3a/C5a degrader platforms. These proteases are designed to target specific disorders of the complement or inflammatory pathways. The ProTUNE™ platform generates optimized, next-generation engineered CFI molecules that are selectively enhanced for potency and target engagement. We expect to nominate a development candidate and target indication from this platform in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Coagulation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MarzAA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MarzAA is a potent, subcutaneously administered, next-generation Factor VIIa variant. We commenced enrollment of a Phase 3 registrational trial of MarzAA for episodic treatment of spontaneous or traumatic bleeding episodes in adolescents and adults with congenital hemophilia A or hemophilia B with inhibitors in May 2021. We have discontinued this trial based on a number of factors, including challenges in enrollment resulting from the limited number of potential patients eligible to enroll in this trial, competition from competing approved therapies, delays in enrollment resulting from COVID-19, the capital requirements to complete the trial, and other factors. Patients enrolled in the study returned to their standard of care and completed all required safety assessments. In the patients enrolled to date, we have successfully treated bleeds with SQ MarzAA and have not observed any adverse events. We plan to report these data at an appropriate medical conference in the future. We had also begun enrollment of a Phase 1/2 trial of MarzAA for treatment of bleeding in individuals with Factor VII Deficiency, Glanzmann Thrombasthenia, and hemophilia A with inhibitors on emicizumab prophylaxis. We have discontinued this trial as well, in light of the difficulties in identifying and enrolling eligible patients, the capital requirements to complete the trial and other factors. We believe that a SQ recombinant Factor VIIa therapy, like MarzAA, has the potential to be an important treatment option for patients with various bleeding disorders and are exploring opportunities to license or sell MarzAA to another party for further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DalcA</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DalcA is a next-generation SQ Factor IX product candidate for the prophylactic treatment of individuals with hemophilia B. An open-label, Phase 2b study was completed in 2020, demonstrating that FIX plasma activity levels were raised from severe to mild hemophilia B levels and maintained throughout the course of the study. We have received guidance from the FDA on the design of the registrational Phase 3 clinical trial, have the necessary data to support its initiation, and are exploring opportunities to license or sell DalcA to another party for further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Manufacturing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CB 4332</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CB 4332 is an engineered albumin-fused version of the CFI protease with an extended half-life that is designed to be a subcutaneously or intravitreally dosed therapy for individuals who would benefit form enhanced regulation of complement.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Business Impact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global coronavirus pandemic has resulted in widespread requirements for individuals to work from their homes, strained medical facilities worldwide, and disruptions to certain pharmaceutical manufacturing and product supply chains. While our offices in California have reopened for all employees, we may experience future disruptions in applicable guidelines for workplace safety, necessitating a return to a remote working environment. We are also still experiencing operational and other challenges as a result of the COVID-19 global pandemic, which delayed our enrollment in MAA-304 and MAA-202, contributing to the decision to discontinue these trials, and which may delay or halt our other development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w:t>
      </w:r>
    </w:p>
    <w:p>
      <w:pPr>
        <w:spacing w:after="0" w:line="12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the first quarter of 2021, we issued and sold an aggregate of 9,185,000 shares of our common stock (including 485,000 shares sold pursuant to the exercise of the underwriters’ overallotment option) at a price of $5.75 per share. The net proceeds to us, after deducting $3.6 million in underwriting discounts and commissions and offering expenses, were approximately $49.3 million.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no drug products approved for commercial sale and have not generated any revenue from drug product sales. From inception to December 31, 2021, we have raised net proceeds of approximately $509.3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ind w:right="60"/>
        <w:spacing w:after="0" w:line="282" w:lineRule="auto"/>
        <w:rPr>
          <w:sz w:val="20"/>
          <w:szCs w:val="20"/>
          <w:color w:val="auto"/>
        </w:rPr>
      </w:pPr>
      <w:r>
        <w:rPr>
          <w:rFonts w:ascii="Times New Roman" w:cs="Times New Roman" w:eastAsia="Times New Roman" w:hAnsi="Times New Roman"/>
          <w:sz w:val="18"/>
          <w:szCs w:val="18"/>
          <w:color w:val="auto"/>
        </w:rPr>
        <w:t>primarily from private placements of convertible preferred stock since converted to common stock, proceeds from our merger with Targacept, issuances of shares of common stock and warrants, including $83.5 million in total cash receipts from our license and collaboration agreements.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in each year since inception. Our net losses were $87.9 million and $56.2 million for the years ended December 31, 2021 and 2020, respectively. As of December 31, 2021, we had an accumulated deficit of $402.7 million. As of December 31, 2021, our cash, cash equivalents and short-term investments balance were $46.9 million. Substantially all our operating losses were incurred in our research and development programs and in our general and administrative operations.</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at least the next several years as we continue preclinical, manufacturing and clinical development, and seek regulatory approval for our drug candidates. Our operating losses may fluctuate significantly from quarter to quarter and year to year due to timing of preclinical, manufacturing, clinical development programs and regulatory guidance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Changes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14, 2021, we promoted Grant Blouse, Ph.D., to chief scientific officer and Tom Knudsen, DVM, Ph.D., to senior vice president, corporate development. Howard Levy, M.B.B.Ch, Ph.D., M.M.M., chief medical officer, announced his plan to retire and transition to a senior clinical advisor role to Catalyst.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9, 2021 (the “Effective Date”), we appointed Ms. Jeanne Y. Jew as a Class III director of Catalyst with a term to expire at the 2024 Annual Meeting of Stockholders. In connection with the appointment, the Board approved an increase in the size of the Board, from seven to eight members, effective as of the Effective Date.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October 13, 2021, Clinton Musil, the chief financial officer, resigned for personal reasons effective October 29, 2021. We promoted Seline Miller, the Company’s controller, to senior vice president, finance. She will serve as the interim chief financial and principal accounting officer while the Company initiates a search for a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License and collaboration revenue consist of revenue earned for performance obligations satisfied pursuant to our license and collaboration agreement with Biogen which was entered into in December 2019. In consideration for the grant of an exclusive license and related know-how, we received an up-front license payment of $15.0 million in January 2020, which was recorded in license revenue during the year ended December 31, 2020. We recognized collaboration revenue for reimbursable third-party vendor, out-of-pocket and personnel costs pertaining to the Biogen Agreement of $7.3 million and $5.8 million during the years ended December 31, 2021 and 2020, respectively. In March 2022, we received notice that Biogen is terminating the license and collaboration agreement. Under the terms of the Biogen Agreement, termination will be effective in May 2022.</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the sale of any drug products and we do not expect to generate any revenue from the sale of drug products until we obtain regulatory approval of and commercialize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and Collaboration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 of license and collaboration revenue consists of fees for research and development services payable to third-party vendors, and personnel costs, corresponding to the recognition of license and collaboration revenue from Biogen. Cost of license and collaboration revenue does not include any allocated overhead costs. In connection with the license revenue recognized from Biogen as discussed above in 2020, we paid Mosaic a $3.0 million sublicense fee and recorded such payment as cost of license. We recognized third-party vendor, out-of-pocket and personnel costs, most of which were reimbursable, pertaining to the Biogen Agreement of $7.4 million and $6.1 million during the years ended December 31, 2021 and 2020, respectively, and recorded such costs as cost of collaboration revenue.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such as the discovery and development of our product candidates. We recognize all research and development costs as they are incurred. Nonrefundable advance payments for goods or services used in research and development are deferred and capitalized. The capitalized amounts are then expensed as the related goods are delivered or services are performed, or until it is no longer expected that the goods or services will be delivered.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the following:</w:t>
      </w:r>
    </w:p>
    <w:p>
      <w:pPr>
        <w:spacing w:after="0" w:line="27" w:lineRule="exact"/>
        <w:rPr>
          <w:sz w:val="20"/>
          <w:szCs w:val="20"/>
          <w:color w:val="auto"/>
        </w:rPr>
      </w:pPr>
    </w:p>
    <w:p>
      <w:pPr>
        <w:ind w:left="1020" w:hanging="43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17" w:lineRule="exact"/>
        <w:rPr>
          <w:rFonts w:ascii="Times New Roman" w:cs="Times New Roman" w:eastAsia="Times New Roman" w:hAnsi="Times New Roman"/>
          <w:sz w:val="18"/>
          <w:szCs w:val="18"/>
          <w:color w:val="auto"/>
        </w:rPr>
      </w:pPr>
    </w:p>
    <w:p>
      <w:pPr>
        <w:ind w:left="1020" w:right="60" w:hanging="432"/>
        <w:spacing w:after="0" w:line="26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vendor expenses, including payments to consultants and third parties, related to the execution of preclinical, non-clinical, and clinical studies;</w:t>
      </w:r>
    </w:p>
    <w:p>
      <w:pPr>
        <w:ind w:left="1020" w:hanging="43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preclinical and clinical materials and developing manufacturing processes;</w:t>
      </w:r>
    </w:p>
    <w:p>
      <w:pPr>
        <w:spacing w:after="0" w:line="17"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including costs of third-party clinical research organizations;</w:t>
      </w:r>
    </w:p>
    <w:p>
      <w:pPr>
        <w:spacing w:after="0" w:line="36" w:lineRule="exact"/>
        <w:rPr>
          <w:rFonts w:ascii="Times New Roman" w:cs="Times New Roman" w:eastAsia="Times New Roman" w:hAnsi="Times New Roman"/>
          <w:sz w:val="18"/>
          <w:szCs w:val="18"/>
          <w:color w:val="auto"/>
        </w:rPr>
      </w:pPr>
    </w:p>
    <w:p>
      <w:pPr>
        <w:ind w:left="1020" w:hanging="43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toxicity and other preclinical studies; and</w:t>
      </w:r>
    </w:p>
    <w:p>
      <w:pPr>
        <w:spacing w:after="0" w:line="144" w:lineRule="exact"/>
        <w:rPr>
          <w:rFonts w:ascii="Times New Roman" w:cs="Times New Roman" w:eastAsia="Times New Roman" w:hAnsi="Times New Roman"/>
          <w:sz w:val="18"/>
          <w:szCs w:val="18"/>
          <w:color w:val="auto"/>
        </w:rPr>
      </w:pPr>
    </w:p>
    <w:p>
      <w:pPr>
        <w:ind w:left="1000" w:right="240" w:hanging="412"/>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and other supplies.</w:t>
      </w:r>
    </w:p>
    <w:p>
      <w:pPr>
        <w:spacing w:after="0" w:line="16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The table below details our internal and external costs for research and development for the period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See Overview and Recent Development Program Updates for further discussion of the current research and development programs.</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828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Hemophilia</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w:t>
            </w:r>
          </w:p>
        </w:tc>
        <w:tc>
          <w:tcPr>
            <w:tcW w:w="100" w:type="dxa"/>
            <w:vAlign w:val="bottom"/>
            <w:shd w:val="clear" w:color="auto" w:fill="CFF0FC"/>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Complement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24,698</w:t>
            </w:r>
          </w:p>
        </w:tc>
        <w:tc>
          <w:tcPr>
            <w:tcW w:w="100" w:type="dxa"/>
            <w:vAlign w:val="bottom"/>
          </w:tcPr>
          <w:p>
            <w:pPr>
              <w:spacing w:after="0"/>
              <w:rPr>
                <w:sz w:val="19"/>
                <w:szCs w:val="19"/>
                <w:color w:val="auto"/>
              </w:rPr>
            </w:pPr>
          </w:p>
        </w:tc>
      </w:tr>
      <w:tr>
        <w:trPr>
          <w:trHeight w:val="229"/>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100" w:type="dxa"/>
            <w:vAlign w:val="bottom"/>
            <w:shd w:val="clear" w:color="auto" w:fill="CFF0FC"/>
          </w:tcPr>
          <w:p>
            <w:pPr>
              <w:spacing w:after="0"/>
              <w:rPr>
                <w:sz w:val="19"/>
                <w:szCs w:val="19"/>
                <w:color w:val="auto"/>
              </w:rPr>
            </w:pPr>
          </w:p>
        </w:tc>
      </w:tr>
      <w:tr>
        <w:trPr>
          <w:trHeight w:val="230"/>
        </w:trPr>
        <w:tc>
          <w:tcPr>
            <w:tcW w:w="8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FF0FC"/>
            </w:tcBorders>
          </w:tcPr>
          <w:p>
            <w:pPr>
              <w:spacing w:after="0"/>
              <w:rPr>
                <w:sz w:val="19"/>
                <w:szCs w:val="19"/>
                <w:color w:val="auto"/>
              </w:rPr>
            </w:pPr>
          </w:p>
        </w:tc>
      </w:tr>
      <w:tr>
        <w:trPr>
          <w:trHeight w:val="223"/>
        </w:trPr>
        <w:tc>
          <w:tcPr>
            <w:tcW w:w="8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largest component of our total operating expenses has historically been our investment in research and development activities, including the clinical and manufacturing development of our product candidates. We are focusing substantially all our resources and development efforts on our complement programs. Costs listed for our hemophilia and complement programs above consist of clinical trial, manufacturing and research costs. Our internal resources, employees and infrastructure, identified above as personnel and other, are generally not directly tied to individual product candidates or development programs. As such, we do not maintain information regarding these costs incurred for these research and development programs on a project-specific basis.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our aggregate research and development expenses will fluctuate during the next year as we continue to explore strategic opportunities for the clinical and manufacturing development of our programs. The global coronavirus pandemic may also delay and increase costs of our current development plans.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20, 2016, we signed a development and manufacturing services agreement with AGC, formerly known as CMC ICOS Biologics, Inc., pursuant to which AGC will conduct manufacturing development of agreed upon product candidates. We will own all intellectual property developed in such manufacturing development activities that are specifically related to our product candidates and will have a royalty-free and perpetual license to use AGC’s intellectual property to the extent reasonably necessary to make these product candidates, including commercial manufacturing. As of December 31, 2021, six GMP batches have been manufactured at AGC in addition to an engineering batch.</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initial term of the agreement is ten years or, if later, until all stages under outstanding statements of work have been completed. Either party may terminate the agreement in its entirety upon written notice of a material uncured breach or upon the other party’s bankruptcy, and we may terminate the agreement upon prior notice for any reason. In addition, each party may terminate the agreement in the event that the manufacturing development activities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cannot be completed for technical or scientific reasons. We had firm work orders with AGC to manufacture MarzAA and DalcA to support clinical trials totaling $15.8 million. The payment obligations were fully paid off as of December 31, 2021. We also have firm work orders with AGC to perform certain manufacturing services related to our collaboration agreement with Biogen totaling $0.7 million and the payment obligations remaining as of December 31, 2021 were $0.3 million.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2021, we entered into two separate agreements, one for additional clinical trial services for MarzAA, and another for our screening and natural history of disease clinical studies related to CFI deficiency, with total payments of up to $3.2 million and $6.5 million, respectively. In November 2021, we provided notice of intent to terminate our MarzAA manufacturing agreements and incurred charges of $3.8 million to write-off prepaid manufacturing costs that will no longer be used for the clinical development of MarzAA. We can terminate the CFI agreement at our discretion and upon termination will be responsible to pay for those services incurred prior to termination plus reasonable wind-down expenses.</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September 16, 2021, we signed a Manufacturing and Research and Development Studies Agreement to support the lyophilized drug product, CB 4332. The agreement will cover analytical method qualification to support GMP manufacturing. We have firm work orders related to this agreement totaling $0.2 million and the payment obligations were fully paid off as of December 31, 2021.</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also have a long-term clinical supply services agreement with Catalent Indiana, LLC (“Catalent”). Catalent has facilities in the U.S. and Europe and conducts drug product development and manufacturing for MarzAA and DalcA. We successfully completed development work for a variety of vial sizes which supports flexible dosing.</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achieving marketing approval for our product candidates. The probability of success of each product candidate may be affected by numerous factors, including clinical data, competition, manufacturing capability and commercial viability. As a result, we are unable to determine the duration of and costs to complete our research and development projects or when and to what extent we will generate revenue from the commercialization and sale of any of our product candidates.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Successful development of current and future product candidates is highly uncertain. Completion dates and costs for our research programs can vary significantly for each current and future product candidate and are difficult to predict. Thus, we cannot estimate with any degree of certainty the costs we will incur in the development of our product candidates. We anticipate we will determine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allocated expenses and other expenses for outside professional services, including legal, human resources, audit and accounting services. Personnel costs consist of salaries, bonus, benefits and stock-based compensation. We incur expenses associated with operating as a public company, including expenses related to compliance with the rules and regulations of the Securities and Exchange Commission (“SEC”) and Nasdaq Stock Market LLC (“Nasdaq”), insurance expenses, audit expenses, investor relations activities, Sarbanes-Oxley compliance expenses and other administrative expenses and professional services. We expect such expenses to fluctuate as we continue to explore strategic opportunities for our programs.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set forth our results of operations data for the periods presented </w:t>
      </w:r>
      <w:r>
        <w:rPr>
          <w:rFonts w:ascii="Times New Roman" w:cs="Times New Roman" w:eastAsia="Times New Roman" w:hAnsi="Times New Roman"/>
          <w:sz w:val="18"/>
          <w:szCs w:val="18"/>
          <w:i w:val="1"/>
          <w:iCs w:val="1"/>
          <w:color w:val="auto"/>
        </w:rPr>
        <w:t>(in thousands, except percentages)</w:t>
      </w:r>
      <w:r>
        <w:rPr>
          <w:rFonts w:ascii="Times New Roman" w:cs="Times New Roman" w:eastAsia="Times New Roman" w:hAnsi="Times New Roman"/>
          <w:sz w:val="18"/>
          <w:szCs w:val="18"/>
          <w:color w:val="auto"/>
        </w:rPr>
        <w:t>:</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 w:type="dxa"/>
            <w:vAlign w:val="bottom"/>
          </w:tcPr>
          <w:p>
            <w:pPr>
              <w:spacing w:after="0"/>
              <w:rPr>
                <w:sz w:val="15"/>
                <w:szCs w:val="15"/>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Collaboration</w:t>
            </w: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8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license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collaboration</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(30,524)</w:t>
            </w:r>
          </w:p>
        </w:tc>
        <w:tc>
          <w:tcPr>
            <w:tcW w:w="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(87,933)</w:t>
            </w:r>
          </w:p>
        </w:tc>
        <w:tc>
          <w:tcPr>
            <w:tcW w:w="8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w:t>
            </w:r>
          </w:p>
        </w:tc>
        <w:tc>
          <w:tcPr>
            <w:tcW w:w="8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Not meaningful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License and collaboration revenues were $7.3 million and $20.9 million for the years ended December 31, 2021 and 2020, respectively. In the year ended December 31, 2021, revenue consisted primarily of reimbursable collaboration expenses from our Biogen Agreement. In the year ended December 31, 2020, revenue consisted primarily of a license payment of $15.0 million and reimbursable collaboration expenses of $5.8 million from our Biogen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and Collaboration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Cost of license and collaboration revenues were $7.4 million and $9.2 million during the years ended December 31, 2021 and 2020, respectively. Cost of collaboration for the year ended December 31, 2021 was primarily related to reimbursable third-party vendor and personnel costs we incurred pertaining to the Biogen Agreement. Cost of license for the year ended December 31, 2020 was primarily the $3.0 million sublicense fee we paid to Mosaic in connection with the recognition of the license revenue from Biogen. Cost of collaboration revenue for the year ended December 31, 2020 was primarily reimbursable third-party vendor, out-of-pocket and personnel related costs we incurred pertaining to the Biogen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$68.9 million and $53.0 million during the years ended December 31, 2021 and 2020, respectively, an increase of approximately $15.9 million, or 30%. The increase was due primarily to an increase of $9.3 million in clinical manufacturing costs of which $3.8 million related to the write-off of prepaid manufacturing costs as part of our restructuring, an increase of $3.9 million in preclinical research, an increase of $2.1 million in personnel-related costs which includes approximately $0.3 million related to one-time severance costs associated with our restructuring, and an increase of $0.6 million in facilities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$19.0 million and $16.2 million during the years ended December 31, 2021 and 2020, respectively, an increase of approximately $2.8 million, or 17%. The increase was due primarily to an increase of $1.4 million in personnel-related costs and an increase of $1.4 million in professional services.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$1.2 million decrease in interest and other income (expense), net for the year ended December 31, 2021 compared to the year ended December 31, 2020 was primarily due to a decrease in interest income and due to the payment received in the first quarter of 2020 under an agreement associated with neuronal nicotinic receptor asset sold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included within Item 8 of this Annual Report on Form 10-K for a description of recent accounting pronouncements adopted and not yet adopted for the year ended December 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2021, we had $46.9 million of cash, cash equivalents and short-term investments. During the year ended December 31, 2021, we had a $87.9 million net loss and $83.8 million cash used in operating activities. We have an accumulated deficit of $402.7 million as of December 31, 2021. Our primary uses of cash are to fund operating expenses, including research and development expenditures and general and administrative expenditures. Cash used to fund operating expenses is impacted by the timing of when we pay these expenses, as reflected in the change in our outstanding accounts payable and accrued expenses.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our existing capital resources, including cash, cash equivalents and investments will be sufficient to meet our projected operating requirements for at least the next 12 months from the date of this filing. We have based this estimate on assumptions that may prove to be wrong, and we could utilize our available capital resources sooner than we currently expect. We plan to continue to fund losses from operations and capital funding needs through future equity and/or debt financings, as well as potential additional asset sales, licensing transactions, collaborations or strategic partnerships with other companies. At the year ended December 31, 2021, we had effective registration statements on Form S-3 that enable us to sell up to $150.0 million in securities subject to limitations under SEC rules. The sale of additional equity or convertible debt could result in additional dilution to our stockholders. The incurrence of indebtedness would result in debt service obligations and could result in operating and financing covenants that would restrict our operations. Licensing transactions, collaborations or strategic partnerships may result in us relinquishing valuable rights. We can provide no assurance that financing will be available in the amounts we need or on terms acceptable to us, if at all. If we are not able to secure adequate additional funding we may be forced to delay, make reductions in spending, extend payment terms with suppliers, liquidate assets where possible, and/or suspend or curtail planned programs. Any of these actions could materially harm our business.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October 2021, we entered into the ATM Agreement with Piper Sandler, which provides that, upon the terms and subject to the conditions and limitations set forth in the ATM Agreement, we may elect to issue and sell, from time to time, shares of our common stock having an aggregate offering price of up to $50.0 million through Piper Sandler acting as our sales agent. Under the ATM Agreement, Piper Sandler may sell the shares of common stock by methods deemed to be an “at the market” offering as defined in Rule 415 under the Securities Act of 1933, as amended, including sales made directly on the Nasdaq Capital Market or any other trading market for the common stock. Piper Sandler will use commercially reasonable efforts to sell the shares of common stock subject to the ATM Agreement from time to time, based upon our instructions (including any price, time or size limits or other customary parameters or conditions that we may impose). We will pay Piper Sandler a commission of 3.0% of the gross proceeds of any shares sold through Piper Sandler under the ATM Agreement; however, we are not obligated to make any sales of common stock. For the year ended December 31, 2021, no shares of common stock were sold under the ATM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our cash flows for the periods presented </w:t>
      </w:r>
      <w:r>
        <w:rPr>
          <w:rFonts w:ascii="Times New Roman" w:cs="Times New Roman" w:eastAsia="Times New Roman" w:hAnsi="Times New Roman"/>
          <w:sz w:val="18"/>
          <w:szCs w:val="18"/>
          <w:i w:val="1"/>
          <w:iCs w:val="1"/>
          <w:color w:val="auto"/>
        </w:rPr>
        <w:t>(in thousands):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6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60,376</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$83.8 million. The most significant component of our cash used was a net loss of $87.9 million. This included non-cash expense related to stock-based compensation of $3.4 million and depreciation and amortization of $0.3 million. In addition, cash inflow of $0.5 million was attributable to the change in our net operating assets and liabilities primarily as a result of a $3.9 million decrease in prepaid and other assets, a $1.5 million decrease in accounts receivable, and a $0.5 million increase in accounts payable, offset by a $3.7 million decrease in accrued compensation and other accrued liabilities and a $1.8 million decrease in deferred revenue related to the Biogen Agreement.</w:t>
      </w:r>
    </w:p>
    <w:p>
      <w:pPr>
        <w:spacing w:after="0" w:line="1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2020 was $55.0 million, due primarily to a net loss of $56.2 million and a net change in our operating assets and liabilities of $2.6 million, due primarily to a $11.7 million decrease in accounts receivable and a $1.7 million increase in accounts payable, partially offset by a $13.0 million decrease in deferred revenue related to the Biogen Agreement and a $3.0 million increase in prepaid and other assets. This is partially offset by non-cash charges of $3.8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2021 was $48.2 million, due to $49.0 million in proceeds from maturities of investments, offset by $0.8 million in purchases of property and equipment.</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Cash provided by investing activities for the year ended December 31, 2020 was $9.7 million, due to $107.6 million in proceeds from maturities of investments, offset by $97.6 million in purchases of short-term and long-term investments and $0.3 million in purchases of property and equipment.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$49.6 million, due to $49.3 million in net proceeds from the issuance of common stock related to our public offering in the first quarter of 2021 and $0.3 million in proceeds from ESPP purchases of common stock and stock option exercises.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2020 was $60.4 million, due to $32.0 million in net proceeds from the issuance of common stock related to our public offering in February 2020, $28.0 million in net proceeds from the issuance of common stock related to our public offering in June 2020, and $0.4 million in proceeds from ESPP purchases of common stock and stock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related disclosures in conformity with U.S. generally accepted accounting principles (“GAAP”) and the Company’s discussion and analysis of its financial condition and operating results require the Company’s management to make judgments, assumptions and estimates that affect the amounts reported in its consolidated financial statements and accompanying notes. Our significant accounting policies and methods used in preparation of the Company’s consolidated financial statements are described in Note 3,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of the Notes to the Consolidated Financial Statements of this Annual Report on Form 10-K. Management bases its estimates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experience and on various other assumptions it believes to be reasonable under the circumstances, the results of which form the basis for making judgments about the carrying values of assets and liabilities. Actual results may differ from these estimates, and such differences may be material.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73" w:name="page74"/>
    <w:bookmarkEnd w:id="73"/>
    <w:p>
      <w:pPr>
        <w:ind w:right="480"/>
        <w:spacing w:after="0" w:line="282" w:lineRule="auto"/>
        <w:rPr>
          <w:sz w:val="20"/>
          <w:szCs w:val="20"/>
          <w:color w:val="auto"/>
        </w:rPr>
      </w:pPr>
      <w:r>
        <w:rPr>
          <w:rFonts w:ascii="Times New Roman" w:cs="Times New Roman" w:eastAsia="Times New Roman" w:hAnsi="Times New Roman"/>
          <w:sz w:val="18"/>
          <w:szCs w:val="18"/>
          <w:color w:val="auto"/>
        </w:rPr>
        <w:t>Management believes the Company’s critical accounting policies and estimates discussed below are critical to understanding its historical and future performance, as these policies relate to the more significant areas involving management’s judgments and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Arrangements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enter into collaboration arrangements that fall under the scope Collaborative Arrangements (Topic 808) (“ASC 808”). We analyze collaboration arrangements to assess whether they are within the scope of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The accounting for some of the activities under collaboration arrangements may be analogized to ASC 606 for distinct units of accounting that are reflective of a vendor-customer relationship.</w:t>
      </w:r>
    </w:p>
    <w:p>
      <w:pPr>
        <w:spacing w:after="0" w:line="18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Under ASC 606, in determining the appropriate amount of revenue to be recognized as we fulfill our obligations under its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we satisfy each performance obligation.</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 license to our intellectual property is determined to be distinct from the other performance obligations identified in the arrangement, we recognize revenues attributed to the license when the license is transferred to the customer and the customer is able to use and benefit from the license. For licenses that are bundled with other promises, we use our judgement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inception of each arrangement that contains development milestones, we evaluate whether the development milestones included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generally considered probable of being achieved until those approvals are received.</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we re-evaluate the probability of achievement of any development milestones, and if necessary, adjust its estimate of the transaction price. Any such adjustments would be recorded on a cumulative catch-up basis, which would affect revenues and earnings in the period of adjustment.</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research and development services, the Company elected the practical expedient to recognize revenue as the research and development services are invoiced. As the Company has a right to consideration from the collaboration agreement with Biogen, in an amount that corresponds directly with the value of the Company’s performance completed to date for the research services, the Company recognized revenue related to the research services as invoiced, in line with the practical expedient in ASC 606-10-55-18.</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74" w:name="page75"/>
    <w:bookmarkEnd w:id="74"/>
    <w:p>
      <w:pPr>
        <w:spacing w:after="0" w:line="266"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(“SSP”) basis. We recognize revenue as or when the performance obligations under the contract are satisfied. As part of the accounting for these arrangements, we must develop assumptions that require judgment to determine the timing of recognition and the SSP for each performance obligation identified in the contract.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SSP for licenses are calculated using the residual approach if we have not yet established a price for such license and the license has not previously been sold on a standalone basis. Otherwise, selling prices for licenses are determined using an income approach model and include key assumptions such as: development timeline, revenue forecast, commercialization expenses, discount rate and probabilities of technical and regulatory success. To estimate the SSP for research and development services, we use a cost-plus margin approach.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external service providers, which include the conduct of preclinical studies and clinical trials and contract manufacturing activities. We record the estimated costs of research and development activities based upon the estimated amount of services provided but not yet invoiced and includes these costs in other accrued liabilities in the consolidated balance sheet and within research and development expense in the consolidated statement of operations. These costs are a significant component of our research and development expenses. We record accrued expenses for these costs based on the estimated amount of work completed and in accordance with agreements established with these external service providers.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its accrued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measure the cost of employee and director services received in exchange for an award of equity instruments based on the fair value-based measurement of the award on the date of grant and recognize the related expense over the period during which an employee or director is required to provide service in exchange for the award on a straight-line basis. The estimated fair value of equity awards that contain performance conditions is expensed over the term of the award once we have determined that it is probable that performance conditions will be satisfied.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Determining the fair value of stock-based awards at the grant date requires judgment. We use the Black-Scholes option-pricing model to determine the fair value of stock options. The determination of the grant date fair value of options using an option-pricing model is affected by our assumptions regarding a number of variables including the fair value of our common stock, our expected common stock price volatility over the expected life of the options, expected term of the stock option, risk-free interest rates and expected dividends. We record stock-based compensation as a compensation expense, net of the forfeited awards. We elected to account for forfeitures when they occur. As such, we recognize stock-based compensation expense only for those stock-based awards that are expected to vest, over their requisite service period, based on the vesting provisions of the individual grants. See Note 10,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Based Compensation, </w:t>
      </w:r>
      <w:r>
        <w:rPr>
          <w:rFonts w:ascii="Times New Roman" w:cs="Times New Roman" w:eastAsia="Times New Roman" w:hAnsi="Times New Roman"/>
          <w:sz w:val="18"/>
          <w:szCs w:val="18"/>
          <w:color w:val="auto"/>
        </w:rPr>
        <w:t>to our consolidated financial statements included in this Annual Report on Form 10-K for more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5" w:name="page76"/>
    <w:bookmarkEnd w:id="75"/>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700" w:type="dxa"/>
            <w:vAlign w:val="bottom"/>
            <w:gridSpan w:val="8"/>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680" w:type="dxa"/>
            <w:vAlign w:val="bottom"/>
          </w:tcPr>
          <w:p>
            <w:pPr>
              <w:spacing w:after="0"/>
              <w:rPr>
                <w:sz w:val="20"/>
                <w:szCs w:val="20"/>
                <w:color w:val="auto"/>
              </w:rPr>
            </w:pPr>
          </w:p>
        </w:tc>
      </w:tr>
      <w:tr>
        <w:trPr>
          <w:trHeight w:val="324"/>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CATALYST BIOSCIENCES, INC.</w:t>
            </w:r>
          </w:p>
        </w:tc>
        <w:tc>
          <w:tcPr>
            <w:tcW w:w="2680" w:type="dxa"/>
            <w:vAlign w:val="bottom"/>
          </w:tcPr>
          <w:p>
            <w:pPr>
              <w:spacing w:after="0"/>
              <w:rPr>
                <w:sz w:val="24"/>
                <w:szCs w:val="24"/>
                <w:color w:val="auto"/>
              </w:rPr>
            </w:pPr>
          </w:p>
        </w:tc>
      </w:tr>
      <w:tr>
        <w:trPr>
          <w:trHeight w:val="324"/>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680" w:type="dxa"/>
            <w:vAlign w:val="bottom"/>
          </w:tcPr>
          <w:p>
            <w:pPr>
              <w:spacing w:after="0"/>
              <w:rPr>
                <w:sz w:val="24"/>
                <w:szCs w:val="24"/>
                <w:color w:val="auto"/>
              </w:rPr>
            </w:pPr>
          </w:p>
        </w:tc>
      </w:tr>
      <w:tr>
        <w:trPr>
          <w:trHeight w:val="391"/>
        </w:trPr>
        <w:tc>
          <w:tcPr>
            <w:tcW w:w="8560" w:type="dxa"/>
            <w:vAlign w:val="bottom"/>
            <w:gridSpan w:val="10"/>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#274)</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2"/>
        </w:trPr>
        <w:tc>
          <w:tcPr>
            <w:tcW w:w="4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34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4"/>
        </w:trPr>
        <w:tc>
          <w:tcPr>
            <w:tcW w:w="440" w:type="dxa"/>
            <w:vAlign w:val="bottom"/>
          </w:tcPr>
          <w:p>
            <w:pPr>
              <w:spacing w:after="0"/>
              <w:rPr>
                <w:sz w:val="16"/>
                <w:szCs w:val="16"/>
                <w:color w:val="auto"/>
              </w:rPr>
            </w:pPr>
          </w:p>
        </w:tc>
        <w:tc>
          <w:tcPr>
            <w:tcW w:w="210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Consolidated Balance Sheets</w:t>
              </w:r>
            </w:hyperlink>
          </w:p>
        </w:tc>
        <w:tc>
          <w:tcPr>
            <w:tcW w:w="6020" w:type="dxa"/>
            <w:vAlign w:val="bottom"/>
            <w:gridSpan w:val="7"/>
          </w:tcPr>
          <w:p>
            <w:pPr>
              <w:spacing w:after="0"/>
              <w:rPr>
                <w:sz w:val="16"/>
                <w:szCs w:val="16"/>
                <w:color w:val="auto"/>
              </w:rPr>
            </w:pPr>
          </w:p>
        </w:tc>
        <w:tc>
          <w:tcPr>
            <w:tcW w:w="2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r>
      <w:tr>
        <w:trPr>
          <w:trHeight w:val="209"/>
        </w:trPr>
        <w:tc>
          <w:tcPr>
            <w:tcW w:w="440" w:type="dxa"/>
            <w:vAlign w:val="bottom"/>
          </w:tcPr>
          <w:p>
            <w:pPr>
              <w:spacing w:after="0"/>
              <w:rPr>
                <w:sz w:val="18"/>
                <w:szCs w:val="18"/>
                <w:color w:val="auto"/>
              </w:rPr>
            </w:pPr>
          </w:p>
        </w:tc>
        <w:tc>
          <w:tcPr>
            <w:tcW w:w="8120" w:type="dxa"/>
            <w:vAlign w:val="bottom"/>
            <w:gridSpan w:val="9"/>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Consolidated Statements of Operations</w:t>
              </w:r>
            </w:hyperlink>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120" w:type="dxa"/>
            <w:vAlign w:val="bottom"/>
            <w:gridSpan w:val="9"/>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Consolidated Statements of Comprehensive Loss</w:t>
              </w:r>
            </w:hyperlink>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4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3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Statements of Stockholders’ Equity</w:t>
              </w:r>
            </w:hyperlink>
          </w:p>
        </w:tc>
        <w:tc>
          <w:tcPr>
            <w:tcW w:w="4560" w:type="dxa"/>
            <w:vAlign w:val="bottom"/>
            <w:gridSpan w:val="2"/>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440" w:type="dxa"/>
            <w:vAlign w:val="bottom"/>
          </w:tcPr>
          <w:p>
            <w:pPr>
              <w:spacing w:after="0"/>
              <w:rPr>
                <w:sz w:val="18"/>
                <w:szCs w:val="18"/>
                <w:color w:val="auto"/>
              </w:rPr>
            </w:pPr>
          </w:p>
        </w:tc>
        <w:tc>
          <w:tcPr>
            <w:tcW w:w="2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Consolidated Statements of Cash Flows</w:t>
              </w:r>
            </w:hyperlink>
          </w:p>
        </w:tc>
        <w:tc>
          <w:tcPr>
            <w:tcW w:w="5240" w:type="dxa"/>
            <w:vAlign w:val="bottom"/>
            <w:gridSpan w:val="5"/>
          </w:tcPr>
          <w:p>
            <w:pPr>
              <w:spacing w:after="0"/>
              <w:rPr>
                <w:sz w:val="18"/>
                <w:szCs w:val="18"/>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40" w:type="dxa"/>
            <w:vAlign w:val="bottom"/>
          </w:tcPr>
          <w:p>
            <w:pPr>
              <w:spacing w:after="0"/>
              <w:rPr>
                <w:sz w:val="18"/>
                <w:szCs w:val="18"/>
                <w:color w:val="auto"/>
              </w:rPr>
            </w:pPr>
          </w:p>
        </w:tc>
        <w:tc>
          <w:tcPr>
            <w:tcW w:w="8120" w:type="dxa"/>
            <w:vAlign w:val="bottom"/>
            <w:gridSpan w:val="9"/>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Notes to the Consolidated Financial Statements</w:t>
              </w:r>
            </w:hyperlink>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682"/>
        </w:trPr>
        <w:tc>
          <w:tcPr>
            <w:tcW w:w="4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0" w:type="dxa"/>
            <w:vAlign w:val="bottom"/>
            <w:tcBorders>
              <w:top w:val="single" w:sz="8" w:color="0000EE"/>
            </w:tcBorders>
            <w:gridSpan w:val="4"/>
          </w:tcPr>
          <w:p>
            <w:pPr>
              <w:spacing w:after="0"/>
              <w:rPr>
                <w:sz w:val="24"/>
                <w:szCs w:val="24"/>
                <w:color w:val="auto"/>
              </w:rPr>
            </w:pPr>
          </w:p>
        </w:tc>
        <w:tc>
          <w:tcPr>
            <w:tcW w:w="4700" w:type="dxa"/>
            <w:vAlign w:val="bottom"/>
            <w:gridSpan w:val="4"/>
          </w:tcPr>
          <w:p>
            <w:pPr>
              <w:jc w:val="right"/>
              <w:ind w:right="2840"/>
              <w:spacing w:after="0"/>
              <w:rPr>
                <w:sz w:val="20"/>
                <w:szCs w:val="20"/>
                <w:color w:val="auto"/>
              </w:rPr>
            </w:pPr>
            <w:r>
              <w:rPr>
                <w:rFonts w:ascii="Times New Roman" w:cs="Times New Roman" w:eastAsia="Times New Roman" w:hAnsi="Times New Roman"/>
                <w:sz w:val="18"/>
                <w:szCs w:val="18"/>
                <w:color w:val="auto"/>
              </w:rPr>
              <w:t>77</w:t>
            </w:r>
          </w:p>
        </w:tc>
        <w:tc>
          <w:tcPr>
            <w:tcW w:w="268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Catalyst Biosciences,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Catalyst Biosciences, Inc. (the “Company”) as of December 31, 2021 and 2020 and the related statements of operations, comprehensive loss, stockholders’ equity, and cash flows for each of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3 to the financial statements, the Company is required to estimate their expenses resulting from their research and development activities conducted by external service providers, which include the performance of preclinical studies and clinical trials and contract manufacturing activities. The Company recorded accrued expenses related to research and development activities of $3.6 million, which are included in other accrued liabilities on the December 31, 2021 balance sheet and also recorded prepaid research and development expenses of $0.9 million, which are included in prepaid and other current assets on the December 31, 2021 balance sheet. The amounts recorded for research and development accruals and for prepaid research and development expenses, within the aforementioned balance sheet captions represent the Company’s estimate of the unpaid and prepaid research and development expenses based on the progress of the research and development activities for clinical trials compared to the amounts paid for clinical trials through December 31,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estimate of research and development expenses is based on the estimated amount of services provided but not yet invoiced, the estimated amount of work completed and estimates to completion and in accordance with agreements established with these external service providers.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management’s estimate of the research and development expenses as a critical audit matter. There was significant judgment required by management with respect to the estimate of the amount of work completed, as the calculation includes estimates of the progress or stage of completion of the services. This in turn led to a high degree of auditor judgment, subjectivity and effort in applying the procedures related to those estimates.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We obtained an understanding and evaluated the design of the controls over the Company’s process of estimation and assumptions used in the estimation of the research and development expenses. We performed procedures to test the research and development accruals and prepaid balances that included, among others, reading agreements with external service providers and evaluating the significant assumptions described above and methods used in developing the research and development estimates and calculating the amounts that were unpaid and prepaid at the balance sheet date. We made direct inquiries of financial and clinical personnel on the status of the research and development activities, progress towards completion, and status of any change orders. We compared the current estimate of expenses incurred to estimates previously made by management. We also assessed the historical accuracy of management’s estimates and examined invoices issued and payments made to services providers after the balance sheet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89,510</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9"/>
                <w:szCs w:val="19"/>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94,846</w:t>
            </w:r>
          </w:p>
        </w:tc>
        <w:tc>
          <w:tcPr>
            <w:tcW w:w="120" w:type="dxa"/>
            <w:vAlign w:val="bottom"/>
            <w:tcBorders>
              <w:bottom w:val="single" w:sz="8" w:color="CFF0FC"/>
            </w:tcBorders>
          </w:tcPr>
          <w:p>
            <w:pPr>
              <w:spacing w:after="0"/>
              <w:rPr>
                <w:sz w:val="22"/>
                <w:szCs w:val="22"/>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zero</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31,409,707 and 22,097,820 shares issued and outstanding at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2021 and 2020, respectively</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390,803</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(402,694)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(314,761)</w:t>
            </w:r>
          </w:p>
        </w:tc>
      </w:tr>
      <w:tr>
        <w:trPr>
          <w:trHeight w:val="223"/>
        </w:trPr>
        <w:tc>
          <w:tcPr>
            <w:tcW w:w="7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License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Collaboration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license</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collaboration</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Shares used to compute net loss per share attributable to common</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30,640,977</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19,179,299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640" w:type="dxa"/>
            <w:vAlign w:val="bottom"/>
            <w:tcBorders>
              <w:bottom w:val="single" w:sz="8" w:color="auto"/>
            </w:tcBorders>
            <w:gridSpan w:val="5"/>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9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(87,933)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(56,241)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debt securities</w:t>
            </w: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(87,938)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(56,270)</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9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9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100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11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3"/>
                <w:szCs w:val="13"/>
                <w:color w:val="auto"/>
              </w:rPr>
            </w:pPr>
          </w:p>
        </w:tc>
        <w:tc>
          <w:tcPr>
            <w:tcW w:w="820" w:type="dxa"/>
            <w:vAlign w:val="bottom"/>
            <w:gridSpan w:val="2"/>
          </w:tcPr>
          <w:p>
            <w:pPr>
              <w:jc w:val="right"/>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54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December 31, 2019</w:t>
            </w:r>
          </w:p>
        </w:tc>
        <w:tc>
          <w:tcPr>
            <w:tcW w:w="700" w:type="dxa"/>
            <w:vAlign w:val="bottom"/>
            <w:tcBorders>
              <w:top w:val="single" w:sz="8" w:color="auto"/>
            </w:tcBorders>
            <w:shd w:val="clear" w:color="auto" w:fill="CFF0FC"/>
          </w:tcPr>
          <w:p>
            <w:pPr>
              <w:ind w:left="54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FF0FC"/>
          </w:tcPr>
          <w:p>
            <w:pPr>
              <w:ind w:left="46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12,040,835</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326,810</w:t>
            </w:r>
          </w:p>
        </w:tc>
        <w:tc>
          <w:tcPr>
            <w:tcW w:w="1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6"/>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(258,520)</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68,336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51,056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54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Issuance of common stock from ESPP purchases</w:t>
            </w: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and stock option exercises</w:t>
            </w:r>
          </w:p>
        </w:tc>
        <w:tc>
          <w:tcPr>
            <w:tcW w:w="9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82,853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54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Issuance of common stock for public offering, net</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of issuance costs of $4,559</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9,923,076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Unrealized loss on available-for-sale debt securities</w:t>
            </w:r>
          </w:p>
        </w:tc>
        <w:tc>
          <w:tcPr>
            <w:tcW w:w="9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(29)</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75"/>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(56,241)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(56,241)</w:t>
            </w:r>
          </w:p>
        </w:tc>
        <w:tc>
          <w:tcPr>
            <w:tcW w:w="0" w:type="dxa"/>
            <w:vAlign w:val="bottom"/>
          </w:tcPr>
          <w:p>
            <w:pPr>
              <w:spacing w:after="0"/>
              <w:rPr>
                <w:sz w:val="1"/>
                <w:szCs w:val="1"/>
                <w:color w:val="auto"/>
              </w:rPr>
            </w:pPr>
          </w:p>
        </w:tc>
      </w:tr>
      <w:tr>
        <w:trPr>
          <w:trHeight w:val="169"/>
        </w:trPr>
        <w:tc>
          <w:tcPr>
            <w:tcW w:w="354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December 31, 2020</w:t>
            </w:r>
          </w:p>
        </w:tc>
        <w:tc>
          <w:tcPr>
            <w:tcW w:w="700" w:type="dxa"/>
            <w:vAlign w:val="bottom"/>
            <w:tcBorders>
              <w:top w:val="single" w:sz="8" w:color="auto"/>
            </w:tcBorders>
            <w:shd w:val="clear" w:color="auto" w:fill="CFF0FC"/>
          </w:tcPr>
          <w:p>
            <w:pPr>
              <w:ind w:left="54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ind w:left="46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22,097,820</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390,803</w:t>
            </w:r>
          </w:p>
        </w:tc>
        <w:tc>
          <w:tcPr>
            <w:tcW w:w="1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(314,761)</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76,069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56,912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54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Issuance of common stock from ESPP purchases</w:t>
            </w: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and stock option exercises</w:t>
            </w:r>
          </w:p>
        </w:tc>
        <w:tc>
          <w:tcPr>
            <w:tcW w:w="9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69,975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54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Issuance of common stock for public offering, net</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of issuance costs of $3,563</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9,185,000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49,241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Unrealized loss on available-for-sale debt securities</w:t>
            </w:r>
          </w:p>
        </w:tc>
        <w:tc>
          <w:tcPr>
            <w:tcW w:w="9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76"/>
        </w:trPr>
        <w:tc>
          <w:tcPr>
            <w:tcW w:w="35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(87,933)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(87,933)</w:t>
            </w:r>
          </w:p>
        </w:tc>
        <w:tc>
          <w:tcPr>
            <w:tcW w:w="0" w:type="dxa"/>
            <w:vAlign w:val="bottom"/>
          </w:tcPr>
          <w:p>
            <w:pPr>
              <w:spacing w:after="0"/>
              <w:rPr>
                <w:sz w:val="1"/>
                <w:szCs w:val="1"/>
                <w:color w:val="auto"/>
              </w:rPr>
            </w:pPr>
          </w:p>
        </w:tc>
      </w:tr>
      <w:tr>
        <w:trPr>
          <w:trHeight w:val="169"/>
        </w:trPr>
        <w:tc>
          <w:tcPr>
            <w:tcW w:w="354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Balance at December 31, 2021</w:t>
            </w:r>
          </w:p>
        </w:tc>
        <w:tc>
          <w:tcPr>
            <w:tcW w:w="700" w:type="dxa"/>
            <w:vAlign w:val="bottom"/>
            <w:tcBorders>
              <w:top w:val="single" w:sz="8" w:color="auto"/>
              <w:bottom w:val="single" w:sz="8" w:color="auto"/>
            </w:tcBorders>
            <w:shd w:val="clear" w:color="auto" w:fill="CFF0FC"/>
          </w:tcPr>
          <w:p>
            <w:pPr>
              <w:ind w:left="54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FF0FC"/>
          </w:tcPr>
          <w:p>
            <w:pPr>
              <w:ind w:left="460"/>
              <w:spacing w:after="0" w:line="169" w:lineRule="exact"/>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31,409,707</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443,752</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6"/>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(402,694</w:t>
            </w:r>
          </w:p>
        </w:tc>
        <w:tc>
          <w:tcPr>
            <w:tcW w:w="120" w:type="dxa"/>
            <w:vAlign w:val="bottom"/>
            <w:tcBorders>
              <w:top w:val="single" w:sz="8" w:color="CFF0FC"/>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41,089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(87,933)</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(56,241)</w:t>
            </w: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(3,043)</w:t>
            </w:r>
          </w:p>
        </w:tc>
      </w:tr>
      <w:tr>
        <w:trPr>
          <w:trHeight w:val="229"/>
        </w:trPr>
        <w:tc>
          <w:tcPr>
            <w:tcW w:w="7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 and other accrued liabilities</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(13,017)</w:t>
            </w: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107,565</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(97,635)</w:t>
            </w: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public offering, net of issuance costs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from ESPP purchase and stock option exercises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FF0FC"/>
          </w:tcPr>
          <w:p>
            <w:pPr>
              <w:spacing w:after="0"/>
              <w:rPr>
                <w:sz w:val="19"/>
                <w:szCs w:val="19"/>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60,376</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spacing w:after="0"/>
              <w:rPr>
                <w:sz w:val="19"/>
                <w:szCs w:val="19"/>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right-of-use asset due to operating lease modification</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Catalyst Biosciences,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572" w:hanging="572"/>
        <w:spacing w:after="0"/>
        <w:tabs>
          <w:tab w:leader="none" w:pos="5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rFonts w:ascii="Times New Roman" w:cs="Times New Roman" w:eastAsia="Times New Roman" w:hAnsi="Times New Roman"/>
          <w:sz w:val="18"/>
          <w:szCs w:val="18"/>
          <w:b w:val="1"/>
          <w:bCs w:val="1"/>
          <w:color w:val="auto"/>
        </w:rPr>
      </w:pPr>
    </w:p>
    <w:p>
      <w:pPr>
        <w:ind w:left="59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Catalyst Biosciences, Inc. and its subsidiary (the “Company” or “Catalyst”) is a fully integrated research and clinical development biopharmaceutical company with expertise in protease engineering, discovery, translational research, clinical development, and manufacturing. The Company is focused on advancing its protease product candidates in the fields of hemostasis and complement regulation. The Company is located in South San Francisco, California and operates in one segment.</w:t>
      </w:r>
    </w:p>
    <w:p>
      <w:pPr>
        <w:spacing w:after="0" w:line="283"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121" w:lineRule="exact"/>
        <w:rPr>
          <w:rFonts w:ascii="Times New Roman" w:cs="Times New Roman" w:eastAsia="Times New Roman" w:hAnsi="Times New Roman"/>
          <w:sz w:val="18"/>
          <w:szCs w:val="18"/>
          <w:b w:val="1"/>
          <w:bCs w:val="1"/>
          <w:color w:val="auto"/>
        </w:rPr>
      </w:pPr>
    </w:p>
    <w:p>
      <w:pPr>
        <w:ind w:left="59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had a net loss of $87.9 million for the year ended December 31, 2021 and an accumulated deficit of $402.7 million as of December 31, 2021. The Company expects to continue to incur losses for the next several years. As of December 31, 2021, the Company had $46.9 million of cash, cash equivalents and short-term investments. Its primary uses of cash are to fund operating expenses, including research and development expenditures and general and administrative expenditures. Based on the current status of its research and development plans, the Company believes that its existing cash, cash equivalents and investments as of December 31, 2021 will be sufficient to fund its cash requirements for at least the next 12 months from the date of the filing of this report. If, at any time, the Company’s prospects for financing its research and development programs decline, the Company may decide to reduce research and development expenses by delaying, discontinuing or reducing its funding of one or more of its research or development programs. Alternatively, the Company might raise funds through strategic collaborations, public or private financings or other arrangements. Such funding, if needed, may not be available on favorable terms, or at all. The Company will continue to evaluate the impact of the novel coronavirus disease (“COVID-19”) pandemic on our business, operations, and cash requirements. For recent financing,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295" w:lineRule="exact"/>
        <w:rPr>
          <w:rFonts w:ascii="Times New Roman" w:cs="Times New Roman" w:eastAsia="Times New Roman" w:hAnsi="Times New Roman"/>
          <w:sz w:val="18"/>
          <w:szCs w:val="18"/>
          <w:b w:val="1"/>
          <w:bCs w:val="1"/>
          <w:color w:val="auto"/>
        </w:rPr>
      </w:pPr>
    </w:p>
    <w:p>
      <w:pPr>
        <w:ind w:left="592" w:right="7260" w:hanging="592"/>
        <w:spacing w:after="0" w:line="378" w:lineRule="auto"/>
        <w:tabs>
          <w:tab w:leader="none" w:pos="5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592" w:righ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subsidiary. Intercompany accounts and transactions, if applicable, have been eliminated in consolidation. The Company’s consolidated financial statements have been prepared in accordance with United States generally accepted accounting principles (“GAAP”).</w:t>
      </w:r>
    </w:p>
    <w:p>
      <w:pPr>
        <w:spacing w:after="0" w:line="279"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5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On an ongoing basis, management evaluates its estimates, including those related to revenue recognition, allowance of doubtful accounts, operating lease right-of-use assets and liabilities, accrued expenses, income taxes and stock-based compensation. The Company bases its estimates on various assumptions that the Company believes to be reasonable under the circumstances. Actual results could differ from those estimates.</w:t>
      </w:r>
    </w:p>
    <w:p>
      <w:pPr>
        <w:spacing w:after="0" w:line="287"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rFonts w:ascii="Times New Roman" w:cs="Times New Roman" w:eastAsia="Times New Roman" w:hAnsi="Times New Roman"/>
          <w:sz w:val="18"/>
          <w:szCs w:val="18"/>
          <w:b w:val="1"/>
          <w:bCs w:val="1"/>
          <w:color w:val="auto"/>
        </w:rPr>
      </w:pPr>
    </w:p>
    <w:p>
      <w:pPr>
        <w:ind w:left="5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December 2019, the Financial Accounting Standards Board (“FASB”) issued Accounting Standards Update (“ASU”)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740): Simplifying the Accounting for Income Taxes. </w:t>
      </w:r>
      <w:r>
        <w:rPr>
          <w:rFonts w:ascii="Times New Roman" w:cs="Times New Roman" w:eastAsia="Times New Roman" w:hAnsi="Times New Roman"/>
          <w:sz w:val="18"/>
          <w:szCs w:val="18"/>
          <w:color w:val="auto"/>
        </w:rPr>
        <w:t>The amendments in ASU 2019-12 are intended to simplify various aspects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ASU 2019-12 removes certain exceptions to the general principles in Topic 740 and also clarifies and amends existing guidance to improve consistent application. The Company adopted ASU 2019-12 as of January 1, 2021, on a prospective transition basis. The adoption of ASU 2019-12 did not have a material impact on the Company’s consolidated financial statements.</w:t>
      </w:r>
    </w:p>
    <w:p>
      <w:pPr>
        <w:spacing w:after="0" w:line="1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4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The main objective of ASU 2016-13 is to provide financial statement users with more decision-useful information about an entity's expected credit losses on financial instruments and other commitments to extend credit at each reporting date. To achieve this objective, the amendments in this update replace the incurred loss impairment methodology currently used today with a methodology that reflects expected credit losses and requires consideration of a broader range of reasonable and supportable information to develop credit loss estimates. ASU 2016-13 will be effective for the Company for fiscal years beginning after December 15, 2022, including interim periods within those fiscal years, using a modified retrospective approach. Early adoption is permitted. The Company plans to adopt ASU 2016-13 and related updates as of January 1, 2023. The Company will assess the impact of adoption of this standard on its consolidated financial statements.</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The amendments in ASU 2021-04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guidance to clarify and reduce diversity in an issuer’s accounting for modifications or exchanges of freestanding equity-classified written call options (for example, warrants) that remain equity classified after modification or exchange. The amendments in this ASU 2021-04 are effective for all entities for fiscal years beginning after December 15, 2021, and interim periods within those fiscal years, with early adoption permitted, including interim periods within those fiscal years. The Company plans to adopt ASU 2021-04 and related updates on January 1, 2022, and does not expect the adoption to have a material impact on its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invests its excess cash in bank deposits, consisting primarily of money market mutual funds. The Company considers all highly liquid investments with original maturities of three months or less from the date of purchase to be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consolidated financial statements on a recurring basis.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hierarchy requires that an entity maximize the use of observable inputs when estimating fair value. The fair value hierarchy includes the following three-level classification which is based on the market observability of the inputs used for estimating the fair value of the assets or liabilities being measured: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inactive markets, or other inputs that are observable or can be corroborated by observable market data for substantially the full term of the assets or liabilities.</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65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respective assets, which are three years for computer equipment and software, and three to seven years for furniture and leasehold improvements.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invests its excess cash in investment grade, short to intermediate-term, fixed income securities and recognizes purchased securities on the settlement date. All investments have been classified as “available-for-sale” and are carried at estimated fair value based upon quoted market prices or pricing models for similar securities. Management determines the appropriate classification of its investments at the time of purchase and reevaluates such designation as of each consolidated balance sheet date. Unrealized gains and losses on available-for-sale debt securities are excluded from earnings and are reported as a component of comprehensive loss. Realized gains and losses and declines in fair value determined to be other-than-temporary, if any, on available-for-sale debt securities are included in interest and other income (expense), net. The cost of securities sold is based on the specific-identification method. Interest on short-term investments is included in interest and other income (expense), net.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Arrangements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may enter into collaboration arrangements that fall under the scope Collaborative Arrangements (Topic 808). 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The accounting for some of the activities under collaboration arrangements may be analogized to ASC 606 for distinct units of account that are reflective of a vendor-customer relationship.</w:t>
      </w:r>
    </w:p>
    <w:p>
      <w:pPr>
        <w:spacing w:after="0" w:line="18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Under ASC 606, 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the Company satisfies each performance obligation.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attributed to the license when the license is transferred to the customer and the customer is able to use and benefit from the license. For licenses that are bundled with other promises, the Company utilizes judgement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contain development milestones, the Company evaluates whether the development milestones included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generally considered probable of being achieved until those approvals are received.</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the end of each reporting period, the Company re-evaluates the probability of achievement of any development milestones, and if necessary, adjusts its estimate of the transaction price. Any such adjustments</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657" w:right="339"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color w:val="auto"/>
        </w:rPr>
        <w:t>would be recorded on a cumulative catch-up basis, which would affect revenues and earnings in the period of adjustment.</w:t>
      </w:r>
    </w:p>
    <w:p>
      <w:pPr>
        <w:spacing w:after="0" w:line="225" w:lineRule="exact"/>
        <w:rPr>
          <w:sz w:val="20"/>
          <w:szCs w:val="20"/>
          <w:color w:val="auto"/>
        </w:rPr>
      </w:pPr>
    </w:p>
    <w:p>
      <w:pPr>
        <w:ind w:left="60" w:right="20"/>
        <w:spacing w:after="0" w:line="261" w:lineRule="auto"/>
        <w:rPr>
          <w:sz w:val="20"/>
          <w:szCs w:val="20"/>
          <w:color w:val="auto"/>
        </w:rPr>
      </w:pPr>
      <w:r>
        <w:rPr>
          <w:rFonts w:ascii="Times New Roman" w:cs="Times New Roman" w:eastAsia="Times New Roman" w:hAnsi="Times New Roman"/>
          <w:sz w:val="18"/>
          <w:szCs w:val="18"/>
          <w:color w:val="auto"/>
        </w:rPr>
        <w:t>For research and development services, the Company elected the practical expedient to recognize revenue as the research and development services are invoiced. As the Company has a right to consideration from the collaboration agreement with Biogen International GmbH (“Biogen”), in an amount that corresponds directly with the value of the Company’s performance completed to date for the research services, the Company recognized revenue related to the research services as invoiced, in line with the practical expedient in ASC 606-10-55-18.</w:t>
      </w:r>
    </w:p>
    <w:p>
      <w:pPr>
        <w:spacing w:after="0" w:line="180" w:lineRule="exact"/>
        <w:rPr>
          <w:sz w:val="20"/>
          <w:szCs w:val="20"/>
          <w:color w:val="auto"/>
        </w:rPr>
      </w:pPr>
    </w:p>
    <w:p>
      <w:pPr>
        <w:ind w:left="60" w:right="160"/>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(“SSP”) basis. The Company recognizes revenue as or when the performance obligations under the contract are satisfied. As part of the accounting for these arrangements, the Company must develop assumptions that require judgment to determine the timing of recognition and the SSP for each performance obligation identified in the contract.</w:t>
      </w:r>
    </w:p>
    <w:p>
      <w:pPr>
        <w:spacing w:after="0" w:line="180" w:lineRule="exact"/>
        <w:rPr>
          <w:sz w:val="20"/>
          <w:szCs w:val="20"/>
          <w:color w:val="auto"/>
        </w:rPr>
      </w:pPr>
    </w:p>
    <w:p>
      <w:pPr>
        <w:ind w:left="60" w:right="140"/>
        <w:spacing w:after="0" w:line="261" w:lineRule="auto"/>
        <w:rPr>
          <w:sz w:val="20"/>
          <w:szCs w:val="20"/>
          <w:color w:val="auto"/>
        </w:rPr>
      </w:pPr>
      <w:r>
        <w:rPr>
          <w:rFonts w:ascii="Times New Roman" w:cs="Times New Roman" w:eastAsia="Times New Roman" w:hAnsi="Times New Roman"/>
          <w:sz w:val="18"/>
          <w:szCs w:val="18"/>
          <w:color w:val="auto"/>
        </w:rPr>
        <w:t>The SSP for licenses are calculated using the residual approach if the Company has not yet established a price for such license and the license has not previously been sold on a standalone basis. Otherwise, selling prices for licenses are determined using an income approach model and include key assumptions such as: development timeline, revenue forecast, commercialization expenses, discount rate and probabilities of technical and regulatory success. To estimate the SSP for research and development services, the Company uses a cost-plus margin approach.</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and Collaboration</w:t>
      </w:r>
    </w:p>
    <w:p>
      <w:pPr>
        <w:spacing w:after="0" w:line="121" w:lineRule="exact"/>
        <w:rPr>
          <w:sz w:val="20"/>
          <w:szCs w:val="20"/>
          <w:color w:val="auto"/>
        </w:rPr>
      </w:pPr>
    </w:p>
    <w:p>
      <w:pPr>
        <w:ind w:left="60" w:right="100"/>
        <w:spacing w:after="0" w:line="261" w:lineRule="auto"/>
        <w:rPr>
          <w:sz w:val="20"/>
          <w:szCs w:val="20"/>
          <w:color w:val="auto"/>
        </w:rPr>
      </w:pPr>
      <w:r>
        <w:rPr>
          <w:rFonts w:ascii="Times New Roman" w:cs="Times New Roman" w:eastAsia="Times New Roman" w:hAnsi="Times New Roman"/>
          <w:sz w:val="18"/>
          <w:szCs w:val="18"/>
          <w:color w:val="auto"/>
        </w:rPr>
        <w:t xml:space="preserve">Cost of license revenue includes sublicense fees paid or payable to Mosaic Biosciences, Inc. (“Mosaic”), incurred in the period, under the terms of the Mosaic collaboration agreement, and fees for patent development and protection paid or payable to other third-party vendors corresponding to the recognition of license revenue from the Company’s collaboration agreement with Biogen. See Notes 8 and 12,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Collaborations, </w:t>
      </w:r>
      <w:r>
        <w:rPr>
          <w:rFonts w:ascii="Times New Roman" w:cs="Times New Roman" w:eastAsia="Times New Roman" w:hAnsi="Times New Roman"/>
          <w:sz w:val="18"/>
          <w:szCs w:val="18"/>
          <w:color w:val="auto"/>
        </w:rPr>
        <w:t>respectively. Cost of license revenue does not include any allocated overhead costs.</w:t>
      </w:r>
    </w:p>
    <w:p>
      <w:pPr>
        <w:spacing w:after="0" w:line="180" w:lineRule="exact"/>
        <w:rPr>
          <w:sz w:val="20"/>
          <w:szCs w:val="20"/>
          <w:color w:val="auto"/>
        </w:rPr>
      </w:pPr>
    </w:p>
    <w:p>
      <w:pPr>
        <w:ind w:left="60" w:right="360"/>
        <w:spacing w:after="0" w:line="266" w:lineRule="auto"/>
        <w:rPr>
          <w:sz w:val="20"/>
          <w:szCs w:val="20"/>
          <w:color w:val="auto"/>
        </w:rPr>
      </w:pPr>
      <w:r>
        <w:rPr>
          <w:rFonts w:ascii="Times New Roman" w:cs="Times New Roman" w:eastAsia="Times New Roman" w:hAnsi="Times New Roman"/>
          <w:sz w:val="18"/>
          <w:szCs w:val="18"/>
          <w:color w:val="auto"/>
        </w:rPr>
        <w:t xml:space="preserve">Cost of collaboration revenue includes fees for research and development services paid or payable to Mosaic and other third-party vendors and personnel cost, incurred in the period pertaining to the Company’s agreement with Biogen. See Notes 8 and 12,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Collaborations, </w:t>
      </w:r>
      <w:r>
        <w:rPr>
          <w:rFonts w:ascii="Times New Roman" w:cs="Times New Roman" w:eastAsia="Times New Roman" w:hAnsi="Times New Roman"/>
          <w:sz w:val="18"/>
          <w:szCs w:val="18"/>
          <w:color w:val="auto"/>
        </w:rPr>
        <w:t>respectively. Cost of collaboration revenue does not include any allocated overhead costs.</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6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used in research and development are initially deferred and capitalized in prepaid and other current assets. The capitalized amounts are then expensed as the related goods are delivered or services are performed, or until it is no longer expected that the goods or services will be delivered. Research and development costs consist of payroll and other personnel-related expenses, laboratory supplies and reagents, contract research and development services, materials, and consulting costs, as well as allocations of facilities and other overhead costs. Under the Company’s collaboration agreement with Biogen, certain specific expenditures are reimbursed by third parties. During the years ended December 31, 2021 and 2020, $6.5 million and $5.4 million, respectively, of research and development expense was recorded as cost of collaboration revenue related to the collaboration agreement with Biogen signed in December 2019.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left="60" w:right="300"/>
        <w:spacing w:after="0" w:line="266" w:lineRule="auto"/>
        <w:rPr>
          <w:sz w:val="20"/>
          <w:szCs w:val="20"/>
          <w:color w:val="auto"/>
        </w:rPr>
      </w:pPr>
      <w:r>
        <w:rPr>
          <w:rFonts w:ascii="Times New Roman" w:cs="Times New Roman" w:eastAsia="Times New Roman" w:hAnsi="Times New Roman"/>
          <w:sz w:val="18"/>
          <w:szCs w:val="18"/>
          <w:color w:val="auto"/>
        </w:rPr>
        <w:t>Accrued expenses include estimated costs of research and development activities conducted by external service providers, which include the conduct of preclinical studies and clinical trials and contract manufacturing activities. The Company records the estimated costs of research and development activities</w:t>
      </w:r>
    </w:p>
    <w:p>
      <w:pPr>
        <w:spacing w:after="0" w:line="17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553" w:right="339" w:bottom="1440" w:gutter="0" w:footer="0" w:header="0"/>
        </w:sectPr>
      </w:pPr>
    </w:p>
    <w:bookmarkStart w:id="88" w:name="page89"/>
    <w:bookmarkEnd w:id="88"/>
    <w:p>
      <w:pPr>
        <w:ind w:right="40"/>
        <w:spacing w:after="0" w:line="261" w:lineRule="auto"/>
        <w:rPr>
          <w:sz w:val="20"/>
          <w:szCs w:val="20"/>
          <w:color w:val="auto"/>
        </w:rPr>
      </w:pPr>
      <w:r>
        <w:rPr>
          <w:rFonts w:ascii="Times New Roman" w:cs="Times New Roman" w:eastAsia="Times New Roman" w:hAnsi="Times New Roman"/>
          <w:sz w:val="18"/>
          <w:szCs w:val="18"/>
          <w:color w:val="auto"/>
        </w:rPr>
        <w:t>based upon the estimated amount of services provided but not yet invoiced and includes these costs in other accrued liabilities in the consolidated balance sheet and within research and development expense in the consolidated statement of operations. These costs are a significant component of the research and development expenses. The Company records accrued expenses for these costs based on the estimated amount of work completed and in accordance with agreements established with these external service providers.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Financial instruments that potentially subject the Company to concentrations of credit risk consist principally of cash, cash equivalents, investments and accounts receivable. The Company’s investment policy restricts cash investments to high credit quality, investment grade investments. The Company believes that it has established guidelines for investment of its excess cash that maintain safety and liquidity through its policies on high quality of investment and investment duration. The Company is exposed to credit risk in the event of default by the institutions holding the cash and cash equivalents to the extent beyond the amount insured by the federal depository insurance corporation. The Company’s accounts receivable as of December 31, 2021 of $1.8 million as well as its total license and collaboration revenue of $7.3 million and $20.9 million for the years ended December 31, 2021 and 2020, respectively, are from one party, see Note 12, </w:t>
      </w:r>
      <w:r>
        <w:rPr>
          <w:rFonts w:ascii="Times New Roman" w:cs="Times New Roman" w:eastAsia="Times New Roman" w:hAnsi="Times New Roman"/>
          <w:sz w:val="18"/>
          <w:szCs w:val="18"/>
          <w:i w:val="1"/>
          <w:iCs w:val="1"/>
          <w:color w:val="auto"/>
        </w:rPr>
        <w:t>Collaborations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Amounts payable to the Company are recorded as accounts receivable when the Company’s right to consideration is unconditional. Customer payments are recorded as deferred revenue upon receipt or when due and may require deferral of revenue recognition to a future period until the Company performs its obligations under the arrangements. The Company continuously monitors collections and payments from its customers and maintains a provision for estimated credit losses. The Company determines its allowance for doubtful accounts by considering a number of factors, including the length of time balances are past due, the Company’s previous loss history, the customer’s current ability to pay its obligations to the Company and the condition of the general economy and the industry as a whole. The Company writes off accounts receivable when they are determined to be uncollectible. For the years ended December 31, 2021 and 2020, there were no allowance for doubtful accounts deemed necessary.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Income taxes are computed using the liability method. Deferred tax assets and liabilities are determined based on the differences between the financial reporting and tax basis of assets and liabilities and are measured using the enacted tax rates and laws that will be in effect when the differences are expected to reverse.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follows the authoritative guidance on accounting for uncertainty in income taxes. This guidance prescribes a more-likely-than-not threshold for financial statement recognition and measurement of a tax position taken in the Company’s income tax returns. This interpretation also provides guidance on accounting for interest and penalties and associated with tax positions, accounting for income taxes in interim periods and income tax disclosures.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policy is to include penalties and interest expense related to income taxes as a component of other expense and interest expense, respectively, as necessary.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non-employee and director services received in exchange for an award of equity instruments based on the fair value of the award on the date of grant and recognizes the related expense over the period during which the employee, non-employee or director is required to provide service in exchange for the award on a straight-line basis. The estimated fair value of equity awards that contain performance conditions is expensed over the term of the award once the Company has determined that it is probable that performance conditions will be satisfied.</w:t>
      </w:r>
    </w:p>
    <w:p>
      <w:pPr>
        <w:spacing w:after="0" w:line="1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445" w:right="339" w:bottom="1440" w:gutter="0" w:footer="0" w:header="0"/>
        </w:sectPr>
      </w:pPr>
    </w:p>
    <w:bookmarkStart w:id="89" w:name="page90"/>
    <w:bookmarkEnd w:id="89"/>
    <w:p>
      <w:pPr>
        <w:ind w:left="592" w:right="12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valuation model to estimate the grant-date fair value of stock-based awards. The determination of fair value for stock-based awards on the date of grant using an option-pricing model requires management to make certain assumptions regarding a number of variables. The Company elected to account for forfeitures when they occur. As such, the Company recognizes stock-based compensation expense, over their requisite service period, based on the vesting provisions of the individual grants.</w:t>
      </w:r>
    </w:p>
    <w:p>
      <w:pPr>
        <w:spacing w:after="0" w:line="284"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left="592" w:right="40"/>
        <w:spacing w:after="0" w:line="256" w:lineRule="auto"/>
        <w:rPr>
          <w:sz w:val="20"/>
          <w:szCs w:val="20"/>
          <w:color w:val="auto"/>
        </w:rPr>
      </w:pPr>
      <w:r>
        <w:rPr>
          <w:rFonts w:ascii="Times New Roman" w:cs="Times New Roman" w:eastAsia="Times New Roman" w:hAnsi="Times New Roman"/>
          <w:sz w:val="18"/>
          <w:szCs w:val="18"/>
          <w:color w:val="auto"/>
        </w:rPr>
        <w:t>Costs and liabilities associated with restructuring are recorded in the period management commits to a restructuring or cost reduction plan, or executes specific actions contemplated by the plan and all criteria for liability recognition have been met. One-time employee termination costs are recognized at the time of communication to employees, unless future service is required, in which case the costs are recognized ratably over the future service period. Restructuring charges are recognized as an operating expense within the consolidated statements of operations and related liabilities are recorded within accrued compensation on the consolidated balance sheets. The Company periodically evaluates and, if necessary, adjusts its estimates based on currently available information.</w:t>
      </w:r>
    </w:p>
    <w:p>
      <w:pPr>
        <w:spacing w:after="0" w:line="29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92" w:right="320"/>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Operating lease liabilities and their corresponding right-of-use assets are recorded based on the present value of lease payments over the expected lease term. The interest rate implicit in lease contracts is typically not readily determinable. As such, the Company utilizes its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87" w:lineRule="exact"/>
        <w:rPr>
          <w:sz w:val="20"/>
          <w:szCs w:val="20"/>
          <w:color w:val="auto"/>
        </w:rPr>
      </w:pPr>
    </w:p>
    <w:p>
      <w:pPr>
        <w:ind w:left="592" w:right="200"/>
        <w:spacing w:after="0" w:line="266" w:lineRule="auto"/>
        <w:rPr>
          <w:sz w:val="20"/>
          <w:szCs w:val="20"/>
          <w:color w:val="auto"/>
        </w:rPr>
      </w:pPr>
      <w:r>
        <w:rPr>
          <w:rFonts w:ascii="Times New Roman" w:cs="Times New Roman" w:eastAsia="Times New Roman" w:hAnsi="Times New Roman"/>
          <w:sz w:val="18"/>
          <w:szCs w:val="18"/>
          <w:color w:val="auto"/>
        </w:rPr>
        <w:t>The Company has elected to combine lease and non-lease components as a single component. The lease expense is recognized over the expected term on a straight-line basis. Operating leases are recognized on the consolidated balance sheet as right-of-use assets, operating lease liabilities, current and operating lease liabilities, non-current.</w:t>
      </w:r>
    </w:p>
    <w:p>
      <w:pPr>
        <w:spacing w:after="0" w:line="280"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jc w:val="both"/>
        <w:ind w:left="592" w:right="18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during the period, without consideration for common stock equivalents. Diluted net loss per share is the same as basic net loss per share, since the effects of potentially dilutive securities are antidilutive given the net loss of the Company for all periods presented.</w:t>
      </w:r>
    </w:p>
    <w:p>
      <w:pPr>
        <w:spacing w:after="0" w:line="280" w:lineRule="exact"/>
        <w:rPr>
          <w:sz w:val="20"/>
          <w:szCs w:val="20"/>
          <w:color w:val="auto"/>
        </w:rPr>
      </w:pPr>
    </w:p>
    <w:p>
      <w:pPr>
        <w:ind w:left="572" w:hanging="572"/>
        <w:spacing w:after="0"/>
        <w:tabs>
          <w:tab w:leader="none" w:pos="5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rFonts w:ascii="Times New Roman" w:cs="Times New Roman" w:eastAsia="Times New Roman" w:hAnsi="Times New Roman"/>
          <w:sz w:val="18"/>
          <w:szCs w:val="18"/>
          <w:b w:val="1"/>
          <w:bCs w:val="1"/>
          <w:color w:val="auto"/>
        </w:rPr>
      </w:pPr>
    </w:p>
    <w:p>
      <w:pPr>
        <w:ind w:left="5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a description of the fair value hierarchy and fair value methodology,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As of December 31, 2021 and 2020, the Company’s highly liquid money market funds included within cash equivalents and U.S. government agency securities are valued using Level 1 inputs. The Company classifies its federal agency securities as Level 2. There were no transfers in or out of Level 1 and Level 2 during the periods presented. U.S. government agency securities are bonds issued by the U.S. government and are fully backed by the U.S. government. Given the frequency at which U.S. government agency securities trade and the accessibility of observable, quoted prices for such assets in active markets, they are recognized as Level 1 assets. Federal agency securities are bonds and notes issued by government-sponsored enterprises, including Fannie Mae, Freddie Mac and the Federal Home Loan Bank. Since Federal agency securities typically do not trade as U.S. government agency securities and no exchange exists to price such investments, they are recognized as Level 2 assets.</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53" w:right="359" w:bottom="1440" w:gutter="0" w:footer="0" w:header="0"/>
        </w:sectPr>
      </w:pPr>
    </w:p>
    <w:bookmarkStart w:id="90" w:name="page91"/>
    <w:bookmarkEnd w:id="90"/>
    <w:p>
      <w:pPr>
        <w:ind w:left="600" w:right="2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present the fair value hierarchy for assets measured at fair value on a recurring basis as of December 31, 2021 and 2020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agency securities</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46"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on accompanying consolidated balance sheet.</w:t>
      </w:r>
    </w:p>
    <w:p>
      <w:pPr>
        <w:spacing w:after="0" w:line="109" w:lineRule="exact"/>
        <w:rPr>
          <w:rFonts w:ascii="Times New Roman" w:cs="Times New Roman" w:eastAsia="Times New Roman" w:hAnsi="Times New Roman"/>
          <w:sz w:val="14"/>
          <w:szCs w:val="14"/>
          <w:color w:val="auto"/>
        </w:rPr>
      </w:pPr>
    </w:p>
    <w:p>
      <w:pPr>
        <w:ind w:left="580" w:right="540" w:hanging="572"/>
        <w:spacing w:after="0" w:line="261" w:lineRule="auto"/>
        <w:tabs>
          <w:tab w:leader="none" w:pos="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short-term investments on accompanying consolidated balance sheet and are classified as available-for-sale debt securities. $2.5 million of U.S. government agency securities as of December 31, 2020 are included in long-term investments on the accompanying consolidated balance sheets due to the maturity being more than 12 months.</w:t>
      </w:r>
    </w:p>
    <w:p>
      <w:pPr>
        <w:spacing w:after="0" w:line="59" w:lineRule="exact"/>
        <w:rPr>
          <w:sz w:val="20"/>
          <w:szCs w:val="20"/>
          <w:color w:val="auto"/>
        </w:rPr>
      </w:pPr>
    </w:p>
    <w:p>
      <w:pPr>
        <w:ind w:left="600" w:right="440" w:hanging="45"/>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liabilities approximate their fair values due to the short-term maturity of these instruments.</w:t>
      </w:r>
    </w:p>
    <w:p>
      <w:pPr>
        <w:spacing w:after="0" w:line="266" w:lineRule="exact"/>
        <w:rPr>
          <w:sz w:val="20"/>
          <w:szCs w:val="20"/>
          <w:color w:val="auto"/>
        </w:rPr>
      </w:pPr>
    </w:p>
    <w:p>
      <w:pPr>
        <w:ind w:left="580" w:hanging="572"/>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9"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Cash equivalents and investments (debt securities) which are classified as available-for-sale securities,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agency securities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340" w:type="dxa"/>
            <w:vAlign w:val="bottom"/>
            <w:tcBorders>
              <w:bottom w:val="single" w:sz="8" w:color="CFF0FC"/>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81,892</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Long-term investments</w:t>
            </w: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81,897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1" w:name="page92"/>
    <w:bookmarkEnd w:id="91"/>
    <w:p>
      <w:pPr>
        <w:ind w:left="592"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realized gains or losses on available-for-sale debt securities for the periods presented. As of December 31, 2021, the remaining contractual maturities of $2.5 million of available-for-sale debt securities were less than one year.</w:t>
      </w:r>
    </w:p>
    <w:p>
      <w:pPr>
        <w:spacing w:after="0" w:line="293" w:lineRule="exact"/>
        <w:rPr>
          <w:sz w:val="20"/>
          <w:szCs w:val="20"/>
          <w:color w:val="auto"/>
        </w:rPr>
      </w:pPr>
    </w:p>
    <w:p>
      <w:pPr>
        <w:ind w:left="572" w:hanging="572"/>
        <w:spacing w:after="0"/>
        <w:tabs>
          <w:tab w:leader="none" w:pos="57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Accrued Liabilities</w:t>
      </w:r>
    </w:p>
    <w:p>
      <w:pPr>
        <w:spacing w:after="0" w:line="132"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Other accrued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02"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Biogen</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w:t>
            </w:r>
          </w:p>
        </w:tc>
        <w:tc>
          <w:tcPr>
            <w:tcW w:w="1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services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1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4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4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left="592" w:right="8020" w:hanging="592"/>
        <w:spacing w:after="0" w:line="416" w:lineRule="auto"/>
        <w:tabs>
          <w:tab w:leader="none" w:pos="584"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Manufacturing Agreements</w:t>
      </w:r>
    </w:p>
    <w:p>
      <w:pPr>
        <w:spacing w:after="0" w:line="1" w:lineRule="exact"/>
        <w:rPr>
          <w:rFonts w:ascii="Times New Roman" w:cs="Times New Roman" w:eastAsia="Times New Roman" w:hAnsi="Times New Roman"/>
          <w:sz w:val="17"/>
          <w:szCs w:val="17"/>
          <w:b w:val="1"/>
          <w:bCs w:val="1"/>
          <w:color w:val="auto"/>
        </w:rPr>
      </w:pPr>
    </w:p>
    <w:p>
      <w:pPr>
        <w:ind w:left="592" w:right="80"/>
        <w:spacing w:after="0" w:line="27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May 20, 2016, the Company signed a development and manufacturing services agreement with AGC Biologics, Inc. (“AGC”), pursuant to which AGC will conduct manufacturing development of agreed upon product candidates. The Company had firm work orders with AGC to manufacture MarzAA and DalcA to support its clinical trials totaling $15.8 million and the payment obligations were fully paid off as of December 31, 2021. The Company also signed an agreement with AGC to perform certain manufacturing services related to the Company’s collaboration agreement with Biogen, which includes firm work orders totaling $0.7 million and the payment obligations remaining as of December 31, 2021 were $0.3 million.</w:t>
      </w:r>
    </w:p>
    <w:p>
      <w:pPr>
        <w:spacing w:after="0" w:line="194" w:lineRule="exact"/>
        <w:rPr>
          <w:rFonts w:ascii="Times New Roman" w:cs="Times New Roman" w:eastAsia="Times New Roman" w:hAnsi="Times New Roman"/>
          <w:sz w:val="17"/>
          <w:szCs w:val="17"/>
          <w:b w:val="1"/>
          <w:bCs w:val="1"/>
          <w:color w:val="auto"/>
        </w:rPr>
      </w:pPr>
    </w:p>
    <w:p>
      <w:pPr>
        <w:ind w:left="592"/>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In July 2021, the Company entered into two separate agreements, one for additional clinical trial services for MarzAA, and another for the Company’s screening and natural history of disease clinical studies related to CFI deficiency, with total payments of up to $3.2 million and $6.5 million, respectively. In November 2021, the Company provided notice of intent to terminate its MarzAA manufacturing agreements and incurred charges of $3.8 million to write-off prepaid manufacturing costs that will no longer be used for the clinical development of MarzAA, see Note 16,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The Company can terminate the CFI agreement at its discretion and upon termination will be responsible to pay for those services incurred prior to termination plus reasonable wind-down expenses.</w:t>
      </w:r>
    </w:p>
    <w:p>
      <w:pPr>
        <w:spacing w:after="0" w:line="268" w:lineRule="exact"/>
        <w:rPr>
          <w:rFonts w:ascii="Times New Roman" w:cs="Times New Roman" w:eastAsia="Times New Roman" w:hAnsi="Times New Roman"/>
          <w:sz w:val="17"/>
          <w:szCs w:val="17"/>
          <w:b w:val="1"/>
          <w:bCs w:val="1"/>
          <w:color w:val="auto"/>
        </w:rPr>
      </w:pPr>
    </w:p>
    <w:p>
      <w:pPr>
        <w:ind w:left="592" w:right="2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September 16, 2021, the Company signed a Manufacturing and Research and Development Studies Agreement to support the lyophilized drug product, CB4332. The agreement will cover analytical method qualification to support good manufacturing practices (“GMP”) manufacturing. The Company currently has firm work orders related to this agreement totaling $0.2 million and the payment obligations were fully paid off as of December 31, 2021.</w:t>
      </w:r>
    </w:p>
    <w:p>
      <w:pPr>
        <w:spacing w:after="0" w:line="175" w:lineRule="exact"/>
        <w:rPr>
          <w:rFonts w:ascii="Times New Roman" w:cs="Times New Roman" w:eastAsia="Times New Roman" w:hAnsi="Times New Roman"/>
          <w:sz w:val="17"/>
          <w:szCs w:val="17"/>
          <w:b w:val="1"/>
          <w:bCs w:val="1"/>
          <w:color w:val="auto"/>
        </w:rPr>
      </w:pPr>
    </w:p>
    <w:p>
      <w:pPr>
        <w:ind w:left="59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rFonts w:ascii="Times New Roman" w:cs="Times New Roman" w:eastAsia="Times New Roman" w:hAnsi="Times New Roman"/>
          <w:sz w:val="17"/>
          <w:szCs w:val="17"/>
          <w:b w:val="1"/>
          <w:bCs w:val="1"/>
          <w:color w:val="auto"/>
        </w:rPr>
      </w:pPr>
    </w:p>
    <w:p>
      <w:pPr>
        <w:ind w:left="592"/>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current COVID-19 pandemic has presented a substantial public health and economic challenge around the world and is affecting the Company’s employees, potential trial participants and business operations. 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The COVID-19 pandemic may disrupt the operations of the Company’s manufacturers or disrupt supply logistics, which could impact the timing of deliveries and potentially increase expenses under our agreements.</w:t>
      </w:r>
    </w:p>
    <w:p>
      <w:pPr>
        <w:spacing w:after="0" w:line="18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594" w:right="419" w:bottom="1440" w:gutter="0" w:footer="0" w:header="0"/>
        </w:sectPr>
      </w:pPr>
    </w:p>
    <w:bookmarkStart w:id="92" w:name="page93"/>
    <w:bookmarkEnd w:id="92"/>
    <w:p>
      <w:pPr>
        <w:ind w:left="592" w:right="400"/>
        <w:spacing w:after="0" w:line="282" w:lineRule="auto"/>
        <w:rPr>
          <w:sz w:val="20"/>
          <w:szCs w:val="20"/>
          <w:color w:val="auto"/>
        </w:rPr>
      </w:pPr>
      <w:r>
        <w:rPr>
          <w:rFonts w:ascii="Times New Roman" w:cs="Times New Roman" w:eastAsia="Times New Roman" w:hAnsi="Times New Roman"/>
          <w:sz w:val="18"/>
          <w:szCs w:val="18"/>
          <w:color w:val="auto"/>
        </w:rPr>
        <w:t>The Company is actively monitoring the impact of COVID-19 and the possible effects on its financial condition, liquidity, operations, clinical trials, suppliers, industry and workforce.</w:t>
      </w:r>
    </w:p>
    <w:p>
      <w:pPr>
        <w:spacing w:after="0" w:line="266" w:lineRule="exact"/>
        <w:rPr>
          <w:sz w:val="20"/>
          <w:szCs w:val="20"/>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592"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24, 2017, the Company announced a strategic research collaboration with Mosaic to develop intravitreal anti-complement factor C3 products for the treatment of dry AMD and other retinal diseases. Dr. Usman, the Company’s Chief Executive Officer and a member of the Company’s board of directors, and Mr. Lawlor, a member of the Company’s board of directors, were also members of the board of directors of Mosaic. On December 21, 2018, the Company amended its collaboration agreement with Mosaic to, among other things, include certain additional products. According to the Mosaic collaboration agreement, as amended, the Company and Mosaic co-funded certain research.</w:t>
      </w:r>
    </w:p>
    <w:p>
      <w:pPr>
        <w:spacing w:after="0" w:line="183" w:lineRule="exact"/>
        <w:rPr>
          <w:rFonts w:ascii="Times New Roman" w:cs="Times New Roman" w:eastAsia="Times New Roman" w:hAnsi="Times New Roman"/>
          <w:sz w:val="18"/>
          <w:szCs w:val="18"/>
          <w:b w:val="1"/>
          <w:bCs w:val="1"/>
          <w:color w:val="auto"/>
        </w:rPr>
      </w:pPr>
    </w:p>
    <w:p>
      <w:pPr>
        <w:ind w:left="592"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18, 2019, the Company entered into the second amendment to the Mosaic collaboration agreement following completion of the co-funded research. Pursuant to the second amendment, any future services provided by Mosaic will be performed on a fee-for-service basis.</w:t>
      </w:r>
    </w:p>
    <w:p>
      <w:pPr>
        <w:spacing w:after="0" w:line="161" w:lineRule="exact"/>
        <w:rPr>
          <w:rFonts w:ascii="Times New Roman" w:cs="Times New Roman" w:eastAsia="Times New Roman" w:hAnsi="Times New Roman"/>
          <w:sz w:val="18"/>
          <w:szCs w:val="18"/>
          <w:b w:val="1"/>
          <w:bCs w:val="1"/>
          <w:color w:val="auto"/>
        </w:rPr>
      </w:pPr>
    </w:p>
    <w:p>
      <w:pPr>
        <w:ind w:left="59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the Company’s collaboration agreement with Biogen, the Company received a $15.0 million upfront license fee on January 10, 2020, see Note 12, </w:t>
      </w:r>
      <w:r>
        <w:rPr>
          <w:rFonts w:ascii="Times New Roman" w:cs="Times New Roman" w:eastAsia="Times New Roman" w:hAnsi="Times New Roman"/>
          <w:sz w:val="18"/>
          <w:szCs w:val="18"/>
          <w:i w:val="1"/>
          <w:iCs w:val="1"/>
          <w:color w:val="auto"/>
        </w:rPr>
        <w:t>Collaborations</w:t>
      </w:r>
      <w:r>
        <w:rPr>
          <w:rFonts w:ascii="Times New Roman" w:cs="Times New Roman" w:eastAsia="Times New Roman" w:hAnsi="Times New Roman"/>
          <w:sz w:val="18"/>
          <w:szCs w:val="18"/>
          <w:color w:val="auto"/>
        </w:rPr>
        <w:t>. As a result, the Company paid Mosaic a $3.0 million sublicense fee and recorded such payment as cost of license revenue for the year ended December 31, 2020.</w:t>
      </w:r>
    </w:p>
    <w:p>
      <w:pPr>
        <w:spacing w:after="0" w:line="175" w:lineRule="exact"/>
        <w:rPr>
          <w:rFonts w:ascii="Times New Roman" w:cs="Times New Roman" w:eastAsia="Times New Roman" w:hAnsi="Times New Roman"/>
          <w:sz w:val="18"/>
          <w:szCs w:val="18"/>
          <w:b w:val="1"/>
          <w:bCs w:val="1"/>
          <w:color w:val="auto"/>
        </w:rPr>
      </w:pPr>
    </w:p>
    <w:p>
      <w:pPr>
        <w:ind w:left="59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8, 2020, the Company entered into a subsequent amendment to the Mosaic collaboration agreement. As part of this amendment, the Company paid a one-time $0.8 million cash payment to Mosaic, and Mosaic is eligible to receive up to $4.0 million in potential future milestone payments related to regulatory and clinical development events for CB 2782-PEG and an additional anti-complement product candidate in lieu of the Company’s obligations to pay Mosaic a double-digit percentage of funds the Company receives from Biogen or any other amounts the Company receives related to sublicense fees, research and development payments, or any other research, regulatory, clinical or commercial milestones and royalties on any other development candidates. The Company now owns one hundred percent of all future payment streams related to these product candidates.</w:t>
      </w:r>
    </w:p>
    <w:p>
      <w:pPr>
        <w:spacing w:after="0" w:line="188"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2020, Mosaic was no longer a related party.</w:t>
      </w:r>
    </w:p>
    <w:p>
      <w:pPr>
        <w:spacing w:after="0" w:line="329"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b w:val="1"/>
          <w:bCs w:val="1"/>
          <w:color w:val="auto"/>
        </w:rPr>
      </w:pPr>
    </w:p>
    <w:p>
      <w:pPr>
        <w:ind w:left="592"/>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Operating lease liabilities are recognized based on the present value of the future minimum lease payments over the lease term. In calculating the present value of the lease payments, the Company has elected to utilize its incremental borrowing rate based on the original lease term and not the remaining lease term. The lease includes non-lease components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common area maintenance) that are paid separately from rent based on actual costs incurred and, therefore, were not included in the right-of-use asset and lease liability but are reflected as an expense in the period incurred.</w:t>
      </w:r>
    </w:p>
    <w:p>
      <w:pPr>
        <w:spacing w:after="0" w:line="164" w:lineRule="exact"/>
        <w:rPr>
          <w:rFonts w:ascii="Times New Roman" w:cs="Times New Roman" w:eastAsia="Times New Roman" w:hAnsi="Times New Roman"/>
          <w:sz w:val="18"/>
          <w:szCs w:val="18"/>
          <w:b w:val="1"/>
          <w:bCs w:val="1"/>
          <w:color w:val="auto"/>
        </w:rPr>
      </w:pPr>
    </w:p>
    <w:p>
      <w:pPr>
        <w:ind w:left="59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space for its corporate headquarters, located in South San Francisco, CA. The lease term is through April 30, 2023 and there are no stated renewal options. On July 17, 2020, the Company entered into an amendment to its existing lease agreement to lease additional office space for an aggregated undiscounted future monthly payment of $0.5 million. The amendment was treated as a separate lease with a lease term of 2.6 years and commenced during the fourth quarter of 2020.</w:t>
      </w:r>
    </w:p>
    <w:p>
      <w:pPr>
        <w:spacing w:after="0" w:line="180" w:lineRule="exact"/>
        <w:rPr>
          <w:sz w:val="20"/>
          <w:szCs w:val="20"/>
          <w:color w:val="auto"/>
        </w:rPr>
      </w:pPr>
    </w:p>
    <w:p>
      <w:pPr>
        <w:jc w:val="both"/>
        <w:ind w:left="592" w:right="20"/>
        <w:spacing w:after="0" w:line="266" w:lineRule="auto"/>
        <w:rPr>
          <w:sz w:val="20"/>
          <w:szCs w:val="20"/>
          <w:color w:val="auto"/>
        </w:rPr>
      </w:pPr>
      <w:r>
        <w:rPr>
          <w:rFonts w:ascii="Times New Roman" w:cs="Times New Roman" w:eastAsia="Times New Roman" w:hAnsi="Times New Roman"/>
          <w:sz w:val="18"/>
          <w:szCs w:val="18"/>
          <w:color w:val="auto"/>
        </w:rPr>
        <w:t>In April 2021, the Company entered into a license agreement (the “License Agreement”) for the use of laboratory facilities in South San Francisco, CA, for an aggregated undiscounted future payment of $1.9 million. This License Agreement has an original lease term of one year and a renewal period of six months. This License Agreement commenced during the second quarter of 2021.</w:t>
      </w:r>
    </w:p>
    <w:p>
      <w:pPr>
        <w:spacing w:after="0" w:line="17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445" w:right="379" w:bottom="1440" w:gutter="0" w:footer="0" w:header="0"/>
        </w:sectPr>
      </w:pPr>
    </w:p>
    <w:bookmarkStart w:id="93" w:name="page94"/>
    <w:bookmarkEnd w:id="93"/>
    <w:p>
      <w:pPr>
        <w:ind w:left="592" w:right="100"/>
        <w:spacing w:after="0" w:line="266" w:lineRule="auto"/>
        <w:rPr>
          <w:sz w:val="20"/>
          <w:szCs w:val="20"/>
          <w:color w:val="auto"/>
        </w:rPr>
      </w:pPr>
      <w:r>
        <w:rPr>
          <w:rFonts w:ascii="Times New Roman" w:cs="Times New Roman" w:eastAsia="Times New Roman" w:hAnsi="Times New Roman"/>
          <w:sz w:val="18"/>
          <w:szCs w:val="18"/>
          <w:color w:val="auto"/>
        </w:rPr>
        <w:t>In October 2021, the Company amended the License Agreement to extend the lease term for a period of one year. The amendment was not accounted for as a separate lease, and resulted in an adjustment to the right-of-use asset and lease liability of $0.6 million. The amended lease will expire at the end of April 2023.</w:t>
      </w:r>
    </w:p>
    <w:p>
      <w:pPr>
        <w:spacing w:after="0" w:line="176" w:lineRule="exact"/>
        <w:rPr>
          <w:sz w:val="20"/>
          <w:szCs w:val="20"/>
          <w:color w:val="auto"/>
        </w:rPr>
      </w:pPr>
    </w:p>
    <w:p>
      <w:pPr>
        <w:ind w:left="592" w:right="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Company’s operating lease expense was $1.7 million and $0.7 million, respectively. The present value assumptions used in calculating the present value of the lease payments were as follows:</w:t>
      </w:r>
    </w:p>
    <w:p>
      <w:pPr>
        <w:spacing w:after="0" w:line="263" w:lineRule="exact"/>
        <w:rPr>
          <w:sz w:val="20"/>
          <w:szCs w:val="20"/>
          <w:color w:val="auto"/>
        </w:rPr>
      </w:pPr>
    </w:p>
    <w:tbl>
      <w:tblPr>
        <w:tblLayout w:type="fixed"/>
        <w:tblInd w:w="1132"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9"/>
        </w:trPr>
        <w:tc>
          <w:tcPr>
            <w:tcW w:w="60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20"/>
                <w:szCs w:val="20"/>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1.3 years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180" w:type="dxa"/>
            <w:vAlign w:val="bottom"/>
            <w:shd w:val="clear" w:color="auto" w:fill="CFF0FC"/>
          </w:tcPr>
          <w:p>
            <w:pPr>
              <w:spacing w:after="0"/>
              <w:rPr>
                <w:sz w:val="19"/>
                <w:szCs w:val="19"/>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3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 xml:space="preserve">The maturity of the Company’s operating lease liabilities as of December 31, 2021 were as follows </w:t>
      </w: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92" w:right="240"/>
        <w:spacing w:after="0" w:line="312" w:lineRule="auto"/>
        <w:rPr>
          <w:sz w:val="20"/>
          <w:szCs w:val="20"/>
          <w:color w:val="auto"/>
        </w:rPr>
      </w:pPr>
      <w:r>
        <w:rPr>
          <w:rFonts w:ascii="Times New Roman" w:cs="Times New Roman" w:eastAsia="Times New Roman" w:hAnsi="Times New Roman"/>
          <w:sz w:val="17"/>
          <w:szCs w:val="17"/>
          <w:color w:val="auto"/>
        </w:rPr>
        <w:t>Under the terms of the lease agreements, the Company is also responsible for certain variable lease payments that are not included in the measurement of the lease liability. The Company did not incur significant variable lease costs for the years ended December 31, 2021 and 2020.</w:t>
      </w:r>
    </w:p>
    <w:p>
      <w:pPr>
        <w:spacing w:after="0" w:line="138"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 xml:space="preserve">Supplemental cash flow information related to operating leases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Prepaid cash payment for lease</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that were included in operating cash outflows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72" w:hanging="572"/>
        <w:spacing w:after="0"/>
        <w:tabs>
          <w:tab w:leader="none" w:pos="57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17"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2018 Omnibus Incentive Plan</w:t>
      </w:r>
    </w:p>
    <w:p>
      <w:pPr>
        <w:spacing w:after="0" w:line="121" w:lineRule="exact"/>
        <w:rPr>
          <w:rFonts w:ascii="Times New Roman" w:cs="Times New Roman" w:eastAsia="Times New Roman" w:hAnsi="Times New Roman"/>
          <w:sz w:val="18"/>
          <w:szCs w:val="18"/>
          <w:b w:val="1"/>
          <w:bCs w:val="1"/>
          <w:color w:val="auto"/>
        </w:rPr>
      </w:pPr>
    </w:p>
    <w:p>
      <w:pPr>
        <w:ind w:left="5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2018, stockholders of the Company approved the Company’s 2018 Omnibus Incentive Plan (the “2018 Plan”). The 2018 Plan had previously been approved by the Company’s Board of Directors (the “Board”) and the Compensation Committee (the “Committee”) of the Board, subject to stockholder approval. The 2018 Plan became effective on June 13, 2018. On June 9, 2021, the stockholders of the Company approved an amendment previously approved by the Board to increase the number of shares of common stock reserved for issuance under the 2018 Plan by 2,500,000 to a total of 5,300,000 shares. The amendment became effective immediately upon stockholder approval.</w:t>
      </w:r>
    </w:p>
    <w:p>
      <w:pPr>
        <w:spacing w:after="0" w:line="179"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Performance-Based Stock Option Grants</w:t>
      </w:r>
    </w:p>
    <w:p>
      <w:pPr>
        <w:spacing w:after="0" w:line="121" w:lineRule="exact"/>
        <w:rPr>
          <w:rFonts w:ascii="Times New Roman" w:cs="Times New Roman" w:eastAsia="Times New Roman" w:hAnsi="Times New Roman"/>
          <w:sz w:val="18"/>
          <w:szCs w:val="18"/>
          <w:b w:val="1"/>
          <w:bCs w:val="1"/>
          <w:color w:val="auto"/>
        </w:rPr>
      </w:pPr>
    </w:p>
    <w:p>
      <w:pPr>
        <w:ind w:left="592"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Committee approved the issuance of option grants to purchase 647,000 shares of common stock for executive officers pursuant to the 2018 Plan, which will vest upon (a) the achievement of specified performance goals and (b) the grantees’ continued employment during the service period specified in each grant. For the year ended December 31, 2021, no expense has been recognized related to these awards. In</w:t>
      </w:r>
    </w:p>
    <w:p>
      <w:pPr>
        <w:spacing w:after="0" w:line="18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553" w:right="379" w:bottom="1440" w:gutter="0" w:footer="0" w:header="0"/>
        </w:sectPr>
      </w:pPr>
    </w:p>
    <w:bookmarkStart w:id="94" w:name="page95"/>
    <w:bookmarkEnd w:id="94"/>
    <w:p>
      <w:pPr>
        <w:ind w:left="600"/>
        <w:spacing w:after="0"/>
        <w:rPr>
          <w:sz w:val="20"/>
          <w:szCs w:val="20"/>
          <w:color w:val="auto"/>
        </w:rPr>
      </w:pPr>
      <w:r>
        <w:rPr>
          <w:rFonts w:ascii="Times New Roman" w:cs="Times New Roman" w:eastAsia="Times New Roman" w:hAnsi="Times New Roman"/>
          <w:sz w:val="18"/>
          <w:szCs w:val="18"/>
          <w:color w:val="auto"/>
        </w:rPr>
        <w:t>addition, the options never vested and expired since the performance conditions were not satisfied as of December 31, 2021.</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2018 Plan and related information:</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1,577,541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(44,605)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(250,641)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expired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(17,930)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December 31, 2020</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2,355,615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Pr>
          <w:p>
            <w:pPr>
              <w:spacing w:after="0"/>
              <w:rPr>
                <w:sz w:val="19"/>
                <w:szCs w:val="19"/>
                <w:color w:val="auto"/>
              </w:rPr>
            </w:pP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(1,239,630)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expired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2,603,630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 December 31,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Pr>
          <w:p>
            <w:pPr>
              <w:spacing w:after="0" w:line="20" w:lineRule="exact"/>
              <w:rPr>
                <w:sz w:val="1"/>
                <w:szCs w:val="1"/>
                <w:color w:val="auto"/>
              </w:rPr>
            </w:pPr>
          </w:p>
        </w:tc>
        <w:tc>
          <w:tcPr>
            <w:tcW w:w="102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1,513,039</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2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Shares available to be granted — December 31,</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3,333,791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8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2021 and 2020 was $4.00 and $5.20, respectively.</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2021 and 2020 was $3,000 and $0.1 million, respectively.</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of options vested during the years ended December 31, 2021 and 2020 was $2.6 million and $3.0 million, respectively.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21" w:lineRule="exact"/>
        <w:rPr>
          <w:sz w:val="20"/>
          <w:szCs w:val="20"/>
          <w:color w:val="auto"/>
        </w:rPr>
      </w:pPr>
    </w:p>
    <w:p>
      <w:pPr>
        <w:ind w:left="600"/>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stock options granted using the Black-Scholes option-pricing formula and a single option award approach. Due to its limited history as a public company and limited number of sales of its common stock, the Company estimated its volatility considering a number of factors including the use of the volatility of comparable public companies. The expected term of options granted under the Plan, all of which qualify as “plain vanilla” per SEC Staff Accounting Bulletin 107, is determined based on the simplified method due to the Company’s limited operating history. The risk-free rate is based on the yield of a U.S. Treasury security with a term consistent with the option. This fair value is being amortized ratably over the requisite service periods of the awards, which is generally the vesting period.</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fair value of employee stock options was estimated using the following weighted-average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6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3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0.84%</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2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3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93.25%</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113.36%</w:t>
            </w:r>
          </w:p>
        </w:tc>
        <w:tc>
          <w:tcPr>
            <w:tcW w:w="1680" w:type="dxa"/>
            <w:vAlign w:val="bottom"/>
          </w:tcPr>
          <w:p>
            <w:pPr>
              <w:spacing w:after="0"/>
              <w:rPr>
                <w:sz w:val="19"/>
                <w:szCs w:val="19"/>
                <w:color w:val="auto"/>
              </w:rPr>
            </w:pPr>
          </w:p>
        </w:tc>
      </w:tr>
      <w:tr>
        <w:trPr>
          <w:trHeight w:val="675"/>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ind w:left="560"/>
        <w:spacing w:after="0"/>
        <w:rPr>
          <w:sz w:val="20"/>
          <w:szCs w:val="20"/>
          <w:color w:val="auto"/>
        </w:rPr>
      </w:pPr>
      <w:r>
        <w:rPr>
          <w:rFonts w:ascii="Times New Roman" w:cs="Times New Roman" w:eastAsia="Times New Roman" w:hAnsi="Times New Roman"/>
          <w:sz w:val="18"/>
          <w:szCs w:val="18"/>
          <w:color w:val="auto"/>
        </w:rPr>
        <w:t xml:space="preserve">Total stock-based compensation recognized was as follows </w:t>
      </w:r>
      <w:r>
        <w:rPr>
          <w:rFonts w:ascii="Times New Roman" w:cs="Times New Roman" w:eastAsia="Times New Roman" w:hAnsi="Times New Roman"/>
          <w:sz w:val="18"/>
          <w:szCs w:val="18"/>
          <w:i w:val="1"/>
          <w:i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1700" w:type="dxa"/>
            <w:vAlign w:val="bottom"/>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1,202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9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w:t>
            </w:r>
          </w:p>
        </w:tc>
        <w:tc>
          <w:tcPr>
            <w:tcW w:w="14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2,203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3,405</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7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8" w:lineRule="exact"/>
        <w:rPr>
          <w:sz w:val="20"/>
          <w:szCs w:val="20"/>
          <w:color w:val="auto"/>
        </w:rPr>
      </w:pPr>
    </w:p>
    <w:p>
      <w:pPr>
        <w:ind w:left="580" w:right="60" w:hanging="572"/>
        <w:spacing w:after="0" w:line="261" w:lineRule="auto"/>
        <w:tabs>
          <w:tab w:leader="none" w:pos="5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general and administrative stock-based compensation for the years ended December 31, 2021 and 2020 is $0.3 million and $0.3 million in expense related to 56,912 shares and 51,056 shares of common stock, respectively, issued to certain board members in lieu of their cash compensation.</w:t>
      </w:r>
    </w:p>
    <w:p>
      <w:pPr>
        <w:spacing w:after="0" w:line="167" w:lineRule="exact"/>
        <w:rPr>
          <w:sz w:val="20"/>
          <w:szCs w:val="20"/>
          <w:color w:val="auto"/>
        </w:rPr>
      </w:pPr>
    </w:p>
    <w:p>
      <w:pPr>
        <w:ind w:left="600" w:right="6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unrecognized employee stock-based compensation expense of $3.9 million, related to unvested stock option awards, which is expected to be recognized over an estimated weighted-average period of 2.49 years.</w:t>
      </w:r>
    </w:p>
    <w:p>
      <w:pPr>
        <w:spacing w:after="0" w:line="3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left="600" w:right="120"/>
        <w:spacing w:after="0" w:line="256" w:lineRule="auto"/>
        <w:rPr>
          <w:sz w:val="20"/>
          <w:szCs w:val="20"/>
          <w:color w:val="auto"/>
        </w:rPr>
      </w:pPr>
      <w:r>
        <w:rPr>
          <w:rFonts w:ascii="Times New Roman" w:cs="Times New Roman" w:eastAsia="Times New Roman" w:hAnsi="Times New Roman"/>
          <w:sz w:val="18"/>
          <w:szCs w:val="18"/>
          <w:color w:val="auto"/>
        </w:rPr>
        <w:t>In June 2018, the Company’s stockholders approved the 2018 Employee Stock Purchase Plan (the “ESPP”). The ESPP had previously been approved by the Board and the Compensation Committee of the Board, subject to stockholder approval which became effective as of June 13, 2018. Under the ESPP, employees meeting certain specific employment qualifications are eligible to participate and can purchase shares of common stock semi-annually on February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August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each year, through payroll deductions. The purchase price is 85% of the lower of the fair market value of the stock at the commencement or end of the offering period. The ESPP permits eligible employees to purchase shares of common stock through payroll deductions for up to 15% of qualified compensation.</w:t>
      </w:r>
    </w:p>
    <w:p>
      <w:pPr>
        <w:spacing w:after="0" w:line="187" w:lineRule="exact"/>
        <w:rPr>
          <w:sz w:val="20"/>
          <w:szCs w:val="20"/>
          <w:color w:val="auto"/>
        </w:rPr>
      </w:pPr>
    </w:p>
    <w:p>
      <w:pPr>
        <w:ind w:left="600" w:right="100"/>
        <w:spacing w:after="0" w:line="282" w:lineRule="auto"/>
        <w:rPr>
          <w:sz w:val="20"/>
          <w:szCs w:val="20"/>
          <w:color w:val="auto"/>
        </w:rPr>
      </w:pPr>
      <w:r>
        <w:rPr>
          <w:rFonts w:ascii="Times New Roman" w:cs="Times New Roman" w:eastAsia="Times New Roman" w:hAnsi="Times New Roman"/>
          <w:sz w:val="18"/>
          <w:szCs w:val="18"/>
          <w:color w:val="auto"/>
        </w:rPr>
        <w:t>The Company’s ESPP is subject to an Evergreen provision which shares may be added to the pool as needed. As of December 31, 2021, a total of 359,545 shares of common stock may be granted in accordance with the terms of the ESPP.</w:t>
      </w:r>
    </w:p>
    <w:p>
      <w:pPr>
        <w:spacing w:after="0" w:line="162" w:lineRule="exact"/>
        <w:rPr>
          <w:sz w:val="20"/>
          <w:szCs w:val="20"/>
          <w:color w:val="auto"/>
        </w:rPr>
      </w:pPr>
    </w:p>
    <w:p>
      <w:pPr>
        <w:ind w:left="600" w:right="1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a total of 64,975 shares of common stock for $0.3 million have been issued to employees participating in the two ESPP purchases during 2021 and 235,469 shares are available for issuance under the ESPP as of December 31, 2021.</w:t>
      </w:r>
    </w:p>
    <w:p>
      <w:pPr>
        <w:spacing w:after="0" w:line="162"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ESPP was $0.1 million and $0.1 million for the years ended December 31, 2021 and 2020, respectively, and is included in total stock-based compensation recognized.</w:t>
      </w:r>
    </w:p>
    <w:p>
      <w:pPr>
        <w:spacing w:after="0" w:line="266" w:lineRule="exact"/>
        <w:rPr>
          <w:sz w:val="20"/>
          <w:szCs w:val="20"/>
          <w:color w:val="auto"/>
        </w:rPr>
      </w:pPr>
    </w:p>
    <w:p>
      <w:pPr>
        <w:ind w:left="580" w:hanging="572"/>
        <w:spacing w:after="0"/>
        <w:tabs>
          <w:tab w:leader="none" w:pos="5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60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incurred cumulative net operating losses since inception and, consequently, has not recorded any income tax expense for the years ended December 31, 2021 and 2020 due to its net operating loss position.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96" w:name="page97"/>
    <w:bookmarkEnd w:id="96"/>
    <w:p>
      <w:pPr>
        <w:ind w:left="20"/>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tax rate for the years ended December 31, 2021 and 2020 are as follows:</w:t>
      </w:r>
    </w:p>
    <w:p>
      <w:pPr>
        <w:spacing w:after="0" w:line="23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(benefit)—net of federal benefit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Derecognition due to Sec. 382 and 383 limitations</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26.26%</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as of December 31, 2021 and 2020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478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2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29,505</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(61,483)</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(38,396)</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Based on the available objective evidence at December 31, 2021, the Company does not believe it is more likely than not that the net deferred tax assets will be realizable. Accordingly, the Company has provided a full valuation allowance against its net deferred tax assets at December 31, 2021 and 2020. The net valuation allowance increased by approximately $23.1 million and decreased approximately $6.9 million during the years ended December 31, 2021 and 2020, respectively.</w:t>
      </w:r>
    </w:p>
    <w:p>
      <w:pPr>
        <w:spacing w:after="0" w:line="180"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As of December 31, 2021, after consideration of certain limitations (see below), the Company had approximately $226.4 million federal and $8.0 million state net operating loss carryforwards (“NOL”) available to reduce future taxable income which, if unused, will begin to expire in 2037 for federal and 2032 for state tax purposes. The federal net operating loss carryforward includes $218.9 million that have an indefinite life.</w:t>
      </w:r>
    </w:p>
    <w:p>
      <w:pPr>
        <w:spacing w:after="0" w:line="176"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also had tax credit carry forwards available to offset future tax liabilities of approximately $11.4 million for federal and $7.5 million for state. If unused, the federal credit will begin to expire in 2040 and the state tax credit does not expire.</w:t>
      </w:r>
    </w:p>
    <w:p>
      <w:pPr>
        <w:spacing w:after="0" w:line="162" w:lineRule="exact"/>
        <w:rPr>
          <w:sz w:val="20"/>
          <w:szCs w:val="20"/>
          <w:color w:val="auto"/>
        </w:rPr>
      </w:pPr>
    </w:p>
    <w:p>
      <w:pPr>
        <w:ind w:left="20" w:right="60"/>
        <w:spacing w:after="0" w:line="254" w:lineRule="auto"/>
        <w:rPr>
          <w:sz w:val="20"/>
          <w:szCs w:val="20"/>
          <w:color w:val="auto"/>
        </w:rPr>
      </w:pPr>
      <w:r>
        <w:rPr>
          <w:rFonts w:ascii="Times New Roman" w:cs="Times New Roman" w:eastAsia="Times New Roman" w:hAnsi="Times New Roman"/>
          <w:sz w:val="18"/>
          <w:szCs w:val="18"/>
          <w:color w:val="auto"/>
        </w:rPr>
        <w:t>If the Company experiences a greater than 50 percentage point aggregate change in ownership over a three-year period (a Section 382 ownership change), utilization of its pre-change NOL carry forwards are subject to annual limitation under Section 382 of the Internal Revenue Code (California has similar provisions). The annual limitation is determined by multiplying the value of the Company's stock at the time of such ownership change by the applicable long-term tax-exempt rate. Such limitations may result in expiration of a portion of the NOL carryforwards before utilization. The Company determined that ownership changes occurred December 21, 2007, August 20, 2015, April 13, 2017, February 15, 2018, and February 18, 2020. Approximately $156.3 million and $70.8 million of the NOLs will expire unutilized for federal and California purposes, respectively. The Company has derecognized NOL related deferred tax assets in the tax affected amounts of $32.8 million and $0 for federal and California purposes, respectively.</w:t>
      </w:r>
    </w:p>
    <w:p>
      <w:pPr>
        <w:spacing w:after="0" w:line="1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00" w:top="553" w:right="419" w:bottom="1440" w:gutter="0" w:footer="0" w:header="0"/>
        </w:sectPr>
      </w:pPr>
    </w:p>
    <w:bookmarkStart w:id="97" w:name="page98"/>
    <w:bookmarkEnd w:id="97"/>
    <w:p>
      <w:pPr>
        <w:ind w:left="600" w:right="320"/>
        <w:spacing w:after="0" w:line="261" w:lineRule="auto"/>
        <w:rPr>
          <w:sz w:val="20"/>
          <w:szCs w:val="20"/>
          <w:color w:val="auto"/>
        </w:rPr>
      </w:pPr>
      <w:r>
        <w:rPr>
          <w:rFonts w:ascii="Times New Roman" w:cs="Times New Roman" w:eastAsia="Times New Roman" w:hAnsi="Times New Roman"/>
          <w:sz w:val="18"/>
          <w:szCs w:val="18"/>
          <w:color w:val="auto"/>
        </w:rPr>
        <w:t>All of the federal tax credits could expire unutilized as well, whereas none of the California tax credits are subject to expiration. Approximately $15.2 million of gross federal tax credit-related deferred tax assets were derecognized due to the Section 383 limitation. The ability of the Company to use its remaining NOL and tax credit carry forwards may be further limited if the Company experiences a Section 382 ownership change as a result of future changes in its stock ownership.</w:t>
      </w:r>
    </w:p>
    <w:p>
      <w:pPr>
        <w:spacing w:after="0" w:line="180" w:lineRule="exact"/>
        <w:rPr>
          <w:sz w:val="20"/>
          <w:szCs w:val="20"/>
          <w:color w:val="auto"/>
        </w:rPr>
      </w:pPr>
    </w:p>
    <w:p>
      <w:pPr>
        <w:ind w:left="600" w:right="580"/>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and modifications to the net interest deduction limitations and technical corrections to tax depreciation methods for qualified improvement property. The Company analyzed the provisions of the Act and determined there was no significant impact to its 2020 tax provision.</w:t>
      </w:r>
    </w:p>
    <w:p>
      <w:pPr>
        <w:spacing w:after="0" w:line="183"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18"/>
          <w:szCs w:val="18"/>
          <w:color w:val="auto"/>
        </w:rPr>
        <w:t>On June 29, 2020, the California Governor signed Assembly Bill 85 (“A.B. 85”), which now becomes California law. A.B. 85, which includes several tax measures, provides for a three-year suspension of the use of net operating losses for medium and large businesses and a three-year cap on the use of business incentive tax credits to offset no more than $5.0 million of tax per year. Generally, A.B. 85 suspends the use of net operating losses for taxable years 2020, 2021, and 2022 for taxpayers with taxable income of $1.0 million or more. Since the Company is not expected to generate California source taxable income of more than $1.0 million, no material impact is anticipated at this time.</w:t>
      </w:r>
    </w:p>
    <w:p>
      <w:pPr>
        <w:spacing w:after="0" w:line="183" w:lineRule="exact"/>
        <w:rPr>
          <w:sz w:val="20"/>
          <w:szCs w:val="20"/>
          <w:color w:val="auto"/>
        </w:rPr>
      </w:pPr>
    </w:p>
    <w:p>
      <w:pPr>
        <w:ind w:left="600" w:right="40"/>
        <w:spacing w:after="0" w:line="258" w:lineRule="auto"/>
        <w:rPr>
          <w:sz w:val="20"/>
          <w:szCs w:val="20"/>
          <w:color w:val="auto"/>
        </w:rPr>
      </w:pPr>
      <w:r>
        <w:rPr>
          <w:rFonts w:ascii="Times New Roman" w:cs="Times New Roman" w:eastAsia="Times New Roman" w:hAnsi="Times New Roman"/>
          <w:sz w:val="18"/>
          <w:szCs w:val="18"/>
          <w:color w:val="auto"/>
        </w:rPr>
        <w:t>On December 27, 2020, the “Consolidated Appropriations Act, 2021” (the “CAA”) was signed into law. The CAA includes provisions meant to clarify and modify certain items put forth in CARES Act, while providing aid to businesses affected by the pandemic. The CAA allows deductions for expenses paid for by Paycheck Protection Program (“PPP”) and Economic Injury Disaster Loan (“EIDL”) Program, clarifies forgiveness of EIDL advances, and other business provisions. The Company analyzed the provisions of the CAA and determined there was no significant impact to its 2021 tax provision.</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121" w:lineRule="exact"/>
        <w:rPr>
          <w:sz w:val="20"/>
          <w:szCs w:val="20"/>
          <w:color w:val="auto"/>
        </w:rPr>
      </w:pPr>
    </w:p>
    <w:p>
      <w:pPr>
        <w:ind w:left="600" w:right="340"/>
        <w:spacing w:after="0" w:line="282" w:lineRule="auto"/>
        <w:rPr>
          <w:sz w:val="20"/>
          <w:szCs w:val="20"/>
          <w:color w:val="auto"/>
        </w:rPr>
      </w:pPr>
      <w:r>
        <w:rPr>
          <w:rFonts w:ascii="Times New Roman" w:cs="Times New Roman" w:eastAsia="Times New Roman" w:hAnsi="Times New Roman"/>
          <w:sz w:val="18"/>
          <w:szCs w:val="18"/>
          <w:color w:val="auto"/>
        </w:rPr>
        <w:t>The Company only recognizes tax benefits if it is more likely than not that they will be sustained upon audit by the relevant tax authority based upon their technical merits. An uncertain tax position will not be recognized if it has less than a 50% likelihood of being sustained.</w:t>
      </w:r>
    </w:p>
    <w:p>
      <w:pPr>
        <w:spacing w:after="0" w:line="162" w:lineRule="exact"/>
        <w:rPr>
          <w:sz w:val="20"/>
          <w:szCs w:val="20"/>
          <w:color w:val="auto"/>
        </w:rPr>
      </w:pPr>
    </w:p>
    <w:p>
      <w:pPr>
        <w:jc w:val="both"/>
        <w:ind w:left="600" w:right="200"/>
        <w:spacing w:after="0" w:line="261" w:lineRule="auto"/>
        <w:rPr>
          <w:sz w:val="20"/>
          <w:szCs w:val="20"/>
          <w:color w:val="auto"/>
        </w:rPr>
      </w:pPr>
      <w:r>
        <w:rPr>
          <w:rFonts w:ascii="Times New Roman" w:cs="Times New Roman" w:eastAsia="Times New Roman" w:hAnsi="Times New Roman"/>
          <w:sz w:val="18"/>
          <w:szCs w:val="18"/>
          <w:color w:val="auto"/>
        </w:rPr>
        <w:t>The Company had approximately $4.7 million and $3.0 million of unrecognized tax benefits as of December 31, 2021 and 2020, respectively. As the Company has a full valuation allowance on its deferred tax assets, the unrecognized tax benefits have reduced the deferred tax assets and the valuation allowance in the same amount. The Company does not expect the amount of unrecognized tax benefits to materially change in the next twelve months.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 of the unrecognized tax benefits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2020</w:t>
            </w:r>
          </w:p>
        </w:tc>
        <w:tc>
          <w:tcPr>
            <w:tcW w:w="28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1,871</w:t>
            </w:r>
          </w:p>
        </w:tc>
      </w:tr>
      <w:tr>
        <w:trPr>
          <w:trHeight w:val="21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Increase/(Decrease) of unrecognized tax benefits taken</w:t>
            </w:r>
          </w:p>
        </w:tc>
        <w:tc>
          <w:tcPr>
            <w:tcW w:w="28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prior years</w:t>
            </w:r>
          </w:p>
        </w:tc>
        <w:tc>
          <w:tcPr>
            <w:tcW w:w="28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of unrecognized tax benefits</w:t>
            </w: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to current year</w:t>
            </w:r>
          </w:p>
        </w:tc>
        <w:tc>
          <w:tcPr>
            <w:tcW w:w="28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0" w:type="dxa"/>
            <w:vAlign w:val="bottom"/>
          </w:tcPr>
          <w:p>
            <w:pPr>
              <w:spacing w:after="0" w:line="20" w:lineRule="exact"/>
              <w:rPr>
                <w:sz w:val="1"/>
                <w:szCs w:val="1"/>
                <w:color w:val="auto"/>
              </w:rPr>
            </w:pPr>
          </w:p>
        </w:tc>
        <w:tc>
          <w:tcPr>
            <w:tcW w:w="446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Ending Balance at December 31, 2020</w:t>
            </w:r>
          </w:p>
        </w:tc>
        <w:tc>
          <w:tcPr>
            <w:tcW w:w="4520" w:type="dxa"/>
            <w:vAlign w:val="bottom"/>
            <w:gridSpan w:val="2"/>
            <w:shd w:val="clear" w:color="auto" w:fill="CFF0FC"/>
          </w:tcPr>
          <w:p>
            <w:pPr>
              <w:jc w:val="right"/>
              <w:ind w:right="516"/>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2,955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of unrecognized tax benefits taken</w:t>
            </w:r>
          </w:p>
        </w:tc>
        <w:tc>
          <w:tcPr>
            <w:tcW w:w="3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prior years</w:t>
            </w:r>
          </w:p>
        </w:tc>
        <w:tc>
          <w:tcPr>
            <w:tcW w:w="3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Increase/(Decrease) of unrecognized tax benefits</w:t>
            </w:r>
          </w:p>
        </w:tc>
        <w:tc>
          <w:tcPr>
            <w:tcW w:w="38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to current year</w:t>
            </w:r>
          </w:p>
        </w:tc>
        <w:tc>
          <w:tcPr>
            <w:tcW w:w="384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 at December 31, 2021</w:t>
            </w:r>
          </w:p>
        </w:tc>
        <w:tc>
          <w:tcPr>
            <w:tcW w:w="3840" w:type="dxa"/>
            <w:vAlign w:val="bottom"/>
          </w:tcPr>
          <w:p>
            <w:pPr>
              <w:spacing w:after="0"/>
              <w:rPr>
                <w:sz w:val="19"/>
                <w:szCs w:val="19"/>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40" w:type="dxa"/>
            <w:vAlign w:val="bottom"/>
            <w:vMerge w:val="restart"/>
          </w:tcPr>
          <w:p>
            <w:pPr>
              <w:jc w:val="right"/>
              <w:ind w:right="3070"/>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jc w:val="both"/>
        <w:ind w:left="592" w:right="16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would be included as income tax expense in the Company’s consolidated statements of operations. As of December 31, 2021 and 2020, the Company had not recognized any tax-related penalties or interest in its consolidated financial statements.</w:t>
      </w:r>
    </w:p>
    <w:p>
      <w:pPr>
        <w:spacing w:after="0" w:line="176" w:lineRule="exact"/>
        <w:rPr>
          <w:sz w:val="20"/>
          <w:szCs w:val="20"/>
          <w:color w:val="auto"/>
        </w:rPr>
      </w:pPr>
    </w:p>
    <w:p>
      <w:pPr>
        <w:ind w:left="592" w:right="60"/>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California, Kansas, Missouri and New Jersey state jurisdictions. The Company is not currently under examination by income tax authorities in federal, state or other jurisdictions. As of December 31, 2021 and 2020, the Company had no uncertain tax positions which affected its financial position and its results of operations or its cash flow, and will continue to evaluate for uncertain positions in the future. The Company is subject to United States federal and state income tax examinations by authorities for all tax years due to accumulated net operating losses that are being carried forward for tax purposes.</w:t>
      </w:r>
    </w:p>
    <w:p>
      <w:pPr>
        <w:spacing w:after="0" w:line="287" w:lineRule="exact"/>
        <w:rPr>
          <w:sz w:val="20"/>
          <w:szCs w:val="20"/>
          <w:color w:val="auto"/>
        </w:rPr>
      </w:pPr>
    </w:p>
    <w:p>
      <w:pPr>
        <w:ind w:left="592" w:right="9500" w:hanging="592"/>
        <w:spacing w:after="0" w:line="400" w:lineRule="auto"/>
        <w:tabs>
          <w:tab w:leader="none" w:pos="584"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Collaborations </w:t>
      </w:r>
      <w:r>
        <w:rPr>
          <w:rFonts w:ascii="Times New Roman" w:cs="Times New Roman" w:eastAsia="Times New Roman" w:hAnsi="Times New Roman"/>
          <w:sz w:val="17"/>
          <w:szCs w:val="17"/>
          <w:b w:val="1"/>
          <w:bCs w:val="1"/>
          <w:i w:val="1"/>
          <w:iCs w:val="1"/>
          <w:color w:val="auto"/>
        </w:rPr>
        <w:t>Mosaic</w:t>
      </w:r>
    </w:p>
    <w:p>
      <w:pPr>
        <w:ind w:left="592"/>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In October 2017, the Company entered into a strategic research collaboration with Mosaic to develop intravitreal anti-complement factor 3 (C3) products for the treatment of dry Age-related Macular Degeneration (AMD) and other retinal diseases. The Company entered into two amendments to the Mosaic research collaboration agreements in December 2019 and May 2020. See Note 8,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7"/>
          <w:szCs w:val="17"/>
          <w:b w:val="1"/>
          <w:bCs w:val="1"/>
          <w:color w:val="auto"/>
        </w:rPr>
      </w:pPr>
    </w:p>
    <w:p>
      <w:pPr>
        <w:ind w:left="59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ISU Abxis</w:t>
      </w:r>
    </w:p>
    <w:p>
      <w:pPr>
        <w:spacing w:after="0" w:line="121" w:lineRule="exact"/>
        <w:rPr>
          <w:rFonts w:ascii="Times New Roman" w:cs="Times New Roman" w:eastAsia="Times New Roman" w:hAnsi="Times New Roman"/>
          <w:sz w:val="17"/>
          <w:szCs w:val="17"/>
          <w:b w:val="1"/>
          <w:bCs w:val="1"/>
          <w:color w:val="auto"/>
        </w:rPr>
      </w:pPr>
    </w:p>
    <w:p>
      <w:pPr>
        <w:ind w:left="592" w:right="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December 2018, the Company entered into an amended and restated license agreement with ISU Abxis (the “A&amp;R ISU Abxis Agreement”), which amended and restated its previous license and collaboration agreement with ISU Abxis previously entered into in September 2013, as subsequently amended in October 2014 and December 2016 (the “Original ISU Abxis Agreement”). Under the A&amp;R ISU Abxis Agreement, ISU Abxis will receive commercialization rights in South Korea to the Company’s engineered Factor IX dalcinonacog alfa - DalcA and the Company will receive clinical development and commercialization rights in the rest of world (excluding South Korea) and manufacturing development and manufacturing rights worldwide (including South Korea). The A&amp;R ISU Abxis Agreement eliminates the profit-sharing arrangement in the Original ISU Abxis Agreement and provides for a low single-digit royalty payment to ISU Abxis, on a country-by-country basis, for net product sales of DalcA by the Company or its affiliates in each country other than South Korea. Pursuant to the A&amp;R ISU Abxis Agreement, the Company will also pay up to an aggregate of $19.5 million in milestone payments to ISU Abxis, including $2.5 million in regulatory and development milestone payments and up to $17.0 million in commercial milestone payments, if the applicable milestones are met. As of December 31, 2021, no milestones have been met.</w:t>
      </w:r>
    </w:p>
    <w:p>
      <w:pPr>
        <w:spacing w:after="0" w:line="295" w:lineRule="exact"/>
        <w:rPr>
          <w:rFonts w:ascii="Times New Roman" w:cs="Times New Roman" w:eastAsia="Times New Roman" w:hAnsi="Times New Roman"/>
          <w:sz w:val="17"/>
          <w:szCs w:val="17"/>
          <w:b w:val="1"/>
          <w:bCs w:val="1"/>
          <w:color w:val="auto"/>
        </w:rPr>
      </w:pPr>
    </w:p>
    <w:p>
      <w:pPr>
        <w:ind w:left="59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Biogen</w:t>
      </w:r>
    </w:p>
    <w:p>
      <w:pPr>
        <w:spacing w:after="0" w:line="121" w:lineRule="exact"/>
        <w:rPr>
          <w:rFonts w:ascii="Times New Roman" w:cs="Times New Roman" w:eastAsia="Times New Roman" w:hAnsi="Times New Roman"/>
          <w:sz w:val="17"/>
          <w:szCs w:val="17"/>
          <w:b w:val="1"/>
          <w:bCs w:val="1"/>
          <w:color w:val="auto"/>
        </w:rPr>
      </w:pPr>
    </w:p>
    <w:p>
      <w:pPr>
        <w:ind w:left="592"/>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December 18, 2019, the Company and Biogen entered into a License and Collaboration Agreement (the “Biogen Agreement”), under which the Company granted Biogen a worldwide, royalty-bearing, exclusive, with the right to sublicense, license (“Exclusive License”) to develop and commercialize CB 2782-PEG and other anti-C3 proteases for potential treatment of dry AMD and other disorders. Pursuant to the Biogen Agreement, the Company will perform certain pre-clinical and manufacturing activities (“Research Services”), and Biogen will be solely responsible for funding the pre-clinical and manufacturing activities and performing IND-enabling activities, worldwide clinical development, and commercialization. The Company will provide the Research Services over a term of thirty months with Biogen having the option to extend the term for two additional twelve-month periods.</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99" w:name="page100"/>
    <w:bookmarkEnd w:id="99"/>
    <w:p>
      <w:pPr>
        <w:ind w:left="592" w:right="160"/>
        <w:spacing w:after="0" w:line="258" w:lineRule="auto"/>
        <w:rPr>
          <w:sz w:val="20"/>
          <w:szCs w:val="20"/>
          <w:color w:val="auto"/>
        </w:rPr>
      </w:pPr>
      <w:r>
        <w:rPr>
          <w:rFonts w:ascii="Times New Roman" w:cs="Times New Roman" w:eastAsia="Times New Roman" w:hAnsi="Times New Roman"/>
          <w:sz w:val="18"/>
          <w:szCs w:val="18"/>
          <w:color w:val="auto"/>
        </w:rPr>
        <w:t>Under the terms of the Biogen Agreement, the Company received an up-front payment for the transfer of the Exclusive License (inclusive of certain know-how) of $15.0 million in January 2020. The Company is eligible to receive development milestones and sales milestones of up to $340.0 million. In addition, the Company is eligible to receive royalties in the range of single-digit to low double-digit percentage rates of annual net sales on a product-by-product and country-by-country basis. The Company will also receive reimbursements for costs associated with the performance of the Research Services.</w:t>
      </w:r>
    </w:p>
    <w:p>
      <w:pPr>
        <w:spacing w:after="0" w:line="183" w:lineRule="exact"/>
        <w:rPr>
          <w:sz w:val="20"/>
          <w:szCs w:val="20"/>
          <w:color w:val="auto"/>
        </w:rPr>
      </w:pPr>
    </w:p>
    <w:p>
      <w:pPr>
        <w:ind w:left="592" w:right="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performance obligations under the Biogen Agreement were the Exclusive License and the Research Services. For the Exclusive License, the Company used the residual approach in determining the standalone selling price, or SSP, which includes the upfront payments, milestones and royalties. For the Research Services, the Company used the historical pricing approach for determining the SSP, which includes the reimbursement of personnel and out-of-pocket costs.</w:t>
      </w:r>
    </w:p>
    <w:p>
      <w:pPr>
        <w:spacing w:after="0" w:line="180" w:lineRule="exact"/>
        <w:rPr>
          <w:sz w:val="20"/>
          <w:szCs w:val="20"/>
          <w:color w:val="auto"/>
        </w:rPr>
      </w:pPr>
    </w:p>
    <w:p>
      <w:pPr>
        <w:ind w:left="592" w:right="60"/>
        <w:spacing w:after="0" w:line="266" w:lineRule="auto"/>
        <w:rPr>
          <w:sz w:val="20"/>
          <w:szCs w:val="20"/>
          <w:color w:val="auto"/>
        </w:rPr>
      </w:pPr>
      <w:r>
        <w:rPr>
          <w:rFonts w:ascii="Times New Roman" w:cs="Times New Roman" w:eastAsia="Times New Roman" w:hAnsi="Times New Roman"/>
          <w:sz w:val="18"/>
          <w:szCs w:val="18"/>
          <w:color w:val="auto"/>
        </w:rPr>
        <w:t xml:space="preserve">The Biogen Agreement will continue on a product-by-product and country-by-country basis until the tenth anniversary of the first commercial sale of the first product in a country, unless terminated earlier by either party as specified under the agreement. In March 2022, the Company received written notice from Biogn to terminate the Biogen Agreement effective in May 2022. See Note 17,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59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no license revenue from the Biogen Agreement. For the year ended December 31, 2020, the Company recognized the $15.0 million in license revenue upon the transfer of the Exclusive License and the related know-how, and $0.1 million in license revenue for reimbursable out-of-pocket costs incurred.</w:t>
      </w:r>
    </w:p>
    <w:p>
      <w:pPr>
        <w:spacing w:after="0" w:line="176" w:lineRule="exact"/>
        <w:rPr>
          <w:sz w:val="20"/>
          <w:szCs w:val="20"/>
          <w:color w:val="auto"/>
        </w:rPr>
      </w:pPr>
    </w:p>
    <w:p>
      <w:pPr>
        <w:ind w:left="592" w:right="9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Company recognized $7.3 million and $5.8 million in collaboration revenue for reimbursable out-of-pocket and personnel costs incurred related to Research Services.</w:t>
      </w:r>
    </w:p>
    <w:p>
      <w:pPr>
        <w:spacing w:after="0" w:line="162" w:lineRule="exact"/>
        <w:rPr>
          <w:sz w:val="20"/>
          <w:szCs w:val="20"/>
          <w:color w:val="auto"/>
        </w:rPr>
      </w:pPr>
    </w:p>
    <w:p>
      <w:pPr>
        <w:ind w:left="592" w:right="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$2.0 million in collaboration revenue from the beginning of period deferred revenue balance.</w:t>
      </w:r>
    </w:p>
    <w:p>
      <w:pPr>
        <w:spacing w:after="0" w:line="266" w:lineRule="exact"/>
        <w:rPr>
          <w:sz w:val="20"/>
          <w:szCs w:val="20"/>
          <w:color w:val="auto"/>
        </w:rPr>
      </w:pPr>
    </w:p>
    <w:p>
      <w:pPr>
        <w:ind w:left="572" w:hanging="572"/>
        <w:spacing w:after="0"/>
        <w:tabs>
          <w:tab w:leader="none" w:pos="57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and Other Income (Expense), Net</w:t>
      </w:r>
    </w:p>
    <w:p>
      <w:pPr>
        <w:spacing w:after="0" w:line="119"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shows the detail of interest and other income (expense), net as follows </w:t>
      </w:r>
      <w:r>
        <w:rPr>
          <w:rFonts w:ascii="Times New Roman" w:cs="Times New Roman" w:eastAsia="Times New Roman" w:hAnsi="Times New Roman"/>
          <w:sz w:val="18"/>
          <w:szCs w:val="18"/>
          <w:i w:val="1"/>
          <w:iCs w:val="1"/>
          <w:color w:val="auto"/>
        </w:rPr>
        <w:t>(in thousands):</w:t>
      </w:r>
    </w:p>
    <w:p>
      <w:pPr>
        <w:spacing w:after="0" w:line="302"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6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572" w:hanging="572"/>
        <w:spacing w:after="0"/>
        <w:tabs>
          <w:tab w:leader="none" w:pos="5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rFonts w:ascii="Times New Roman" w:cs="Times New Roman" w:eastAsia="Times New Roman" w:hAnsi="Times New Roman"/>
          <w:sz w:val="18"/>
          <w:szCs w:val="18"/>
          <w:b w:val="1"/>
          <w:bCs w:val="1"/>
          <w:color w:val="auto"/>
        </w:rPr>
      </w:pPr>
    </w:p>
    <w:p>
      <w:pPr>
        <w:ind w:left="59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2021, the Company issued and sold an aggregate of 9,185,000 registered shares of its common stock (including 485,000 shares sold pursuant to the exercise of the underwriters’ overallotment option) at a price of $5.75 per share. The net proceeds to the Company, after deducting $3.6 million in underwriting discounts and commissions, and offering expenses, were approximately $49.3 million.</w:t>
      </w:r>
    </w:p>
    <w:p>
      <w:pPr>
        <w:spacing w:after="0" w:line="175" w:lineRule="exact"/>
        <w:rPr>
          <w:rFonts w:ascii="Times New Roman" w:cs="Times New Roman" w:eastAsia="Times New Roman" w:hAnsi="Times New Roman"/>
          <w:sz w:val="18"/>
          <w:szCs w:val="18"/>
          <w:b w:val="1"/>
          <w:bCs w:val="1"/>
          <w:color w:val="auto"/>
        </w:rPr>
      </w:pPr>
    </w:p>
    <w:p>
      <w:pPr>
        <w:ind w:left="592"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85 issued and outstanding common stock warrants as of December 31, 2021 and 2020, respectively, with a weighted-average exercise price of $392.70. The warrants expire in August 2022.</w:t>
      </w:r>
    </w:p>
    <w:p>
      <w:pPr>
        <w:spacing w:after="0" w:line="157" w:lineRule="exact"/>
        <w:rPr>
          <w:rFonts w:ascii="Times New Roman" w:cs="Times New Roman" w:eastAsia="Times New Roman" w:hAnsi="Times New Roman"/>
          <w:sz w:val="18"/>
          <w:szCs w:val="18"/>
          <w:b w:val="1"/>
          <w:bCs w:val="1"/>
          <w:color w:val="auto"/>
        </w:rPr>
      </w:pPr>
    </w:p>
    <w:p>
      <w:pPr>
        <w:ind w:left="5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2021 ATM Program</w:t>
      </w:r>
    </w:p>
    <w:p>
      <w:pPr>
        <w:spacing w:after="0" w:line="121" w:lineRule="exact"/>
        <w:rPr>
          <w:rFonts w:ascii="Times New Roman" w:cs="Times New Roman" w:eastAsia="Times New Roman" w:hAnsi="Times New Roman"/>
          <w:sz w:val="18"/>
          <w:szCs w:val="18"/>
          <w:b w:val="1"/>
          <w:bCs w:val="1"/>
          <w:color w:val="auto"/>
        </w:rPr>
      </w:pPr>
    </w:p>
    <w:p>
      <w:pPr>
        <w:ind w:left="592"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15, 2021, the Company entered into an Equity Distribution Agreement (the “ATM Agreement”) with Piper Sandler &amp; Co. (“Piper Sandler”), as sales agent, pursuant to which the Company may offer and sell, from time to time, through Piper Sandler, shares of the Company’s common stock, par value of $0.001 per</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53" w:right="359" w:bottom="1440" w:gutter="0" w:footer="0" w:header="0"/>
        </w:sectPr>
      </w:pPr>
    </w:p>
    <w:bookmarkStart w:id="100" w:name="page101"/>
    <w:bookmarkEnd w:id="100"/>
    <w:p>
      <w:pPr>
        <w:ind w:left="592" w:right="200"/>
        <w:spacing w:after="0" w:line="261" w:lineRule="auto"/>
        <w:rPr>
          <w:sz w:val="20"/>
          <w:szCs w:val="20"/>
          <w:color w:val="auto"/>
        </w:rPr>
      </w:pPr>
      <w:r>
        <w:rPr>
          <w:rFonts w:ascii="Times New Roman" w:cs="Times New Roman" w:eastAsia="Times New Roman" w:hAnsi="Times New Roman"/>
          <w:sz w:val="18"/>
          <w:szCs w:val="18"/>
          <w:color w:val="auto"/>
        </w:rPr>
        <w:t>share, with aggregate gross sales proceeds of up to $50.0 million through an “at the market” equity offering program (the “ATM Program”). The Company will pay Piper Sandler a commission of 3.0% of the gross proceeds of any shares sold. The Company also agreed to reimburse Piper Sandler for certain expenses incurred in connection with its services under the ATM Agreement, including up to $50,000 for legal expenses in connection with the establishment of the ATM Program.</w:t>
      </w:r>
    </w:p>
    <w:p>
      <w:pPr>
        <w:spacing w:after="0" w:line="180" w:lineRule="exact"/>
        <w:rPr>
          <w:sz w:val="20"/>
          <w:szCs w:val="20"/>
          <w:color w:val="auto"/>
        </w:rPr>
      </w:pPr>
    </w:p>
    <w:p>
      <w:pPr>
        <w:jc w:val="both"/>
        <w:ind w:left="592"/>
        <w:spacing w:after="0" w:line="266" w:lineRule="auto"/>
        <w:rPr>
          <w:sz w:val="20"/>
          <w:szCs w:val="20"/>
          <w:color w:val="auto"/>
        </w:rPr>
      </w:pPr>
      <w:r>
        <w:rPr>
          <w:rFonts w:ascii="Times New Roman" w:cs="Times New Roman" w:eastAsia="Times New Roman" w:hAnsi="Times New Roman"/>
          <w:sz w:val="18"/>
          <w:szCs w:val="18"/>
          <w:color w:val="auto"/>
        </w:rPr>
        <w:t>Sales of shares of common stock under the ATM Program will be made pursuant to the registration statement on Form S-3 (File No. 333-253874), which was declared effective by the SEC on May 3, 2021, and a related prospectus supplement file with the SEC on October 15, 2021. For the year ended December 31, 2021, no shares of common stock were sold under the ATM Program.</w:t>
      </w:r>
    </w:p>
    <w:p>
      <w:pPr>
        <w:spacing w:after="0" w:line="280" w:lineRule="exact"/>
        <w:rPr>
          <w:sz w:val="20"/>
          <w:szCs w:val="20"/>
          <w:color w:val="auto"/>
        </w:rPr>
      </w:pPr>
    </w:p>
    <w:p>
      <w:pPr>
        <w:ind w:left="572" w:hanging="572"/>
        <w:spacing w:after="0"/>
        <w:tabs>
          <w:tab w:leader="none" w:pos="57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rFonts w:ascii="Times New Roman" w:cs="Times New Roman" w:eastAsia="Times New Roman" w:hAnsi="Times New Roman"/>
          <w:sz w:val="18"/>
          <w:szCs w:val="18"/>
          <w:b w:val="1"/>
          <w:bCs w:val="1"/>
          <w:color w:val="auto"/>
        </w:rPr>
      </w:pPr>
    </w:p>
    <w:p>
      <w:pPr>
        <w:jc w:val="both"/>
        <w:ind w:left="592"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Company was in a loss position for all periods presented, diluted net loss per share is the same as basic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250"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6"/>
        </w:trPr>
        <w:tc>
          <w:tcPr>
            <w:tcW w:w="62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2,603,630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2,355,615</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2,603,715</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2,355,700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572" w:hanging="572"/>
        <w:spacing w:after="0"/>
        <w:tabs>
          <w:tab w:leader="none" w:pos="57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rFonts w:ascii="Times New Roman" w:cs="Times New Roman" w:eastAsia="Times New Roman" w:hAnsi="Times New Roman"/>
          <w:sz w:val="18"/>
          <w:szCs w:val="18"/>
          <w:b w:val="1"/>
          <w:bCs w:val="1"/>
          <w:color w:val="auto"/>
        </w:rPr>
      </w:pPr>
    </w:p>
    <w:p>
      <w:pPr>
        <w:ind w:left="592"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2021, the Board approved a restructuring of its business based on its decision to stop the clinical development of MarzAA and focus solely on its complement programs and protease medicines platform. The restructuring included a reduction-in-force whereby approximately 35% of employees were terminated. During the year ended December 31, 2021, the Company recorded charges of $0.4 million related to one-time severance costs and related expenses in connection with the workforce reduction, and charges of $3.8 million related to the write-off of prepaid manufacturing costs that will no longer be used for the clinical development of MarzAA. As of December 31, 2021, the remaining restructuring liability was $0.2 million, which the Company expects to pay in the first quarter of 2022.</w:t>
      </w:r>
    </w:p>
    <w:p>
      <w:pPr>
        <w:spacing w:after="0" w:line="187" w:lineRule="exact"/>
        <w:rPr>
          <w:rFonts w:ascii="Times New Roman" w:cs="Times New Roman" w:eastAsia="Times New Roman" w:hAnsi="Times New Roman"/>
          <w:sz w:val="18"/>
          <w:szCs w:val="18"/>
          <w:b w:val="1"/>
          <w:bCs w:val="1"/>
          <w:color w:val="auto"/>
        </w:rPr>
      </w:pPr>
    </w:p>
    <w:p>
      <w:pPr>
        <w:ind w:left="592" w:right="7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restructuring charges recorded in each component of operating expenses in the Company’s consolidated statements of operations (in thousands):</w:t>
      </w:r>
    </w:p>
    <w:p>
      <w:pPr>
        <w:spacing w:after="0" w:line="155" w:lineRule="exact"/>
        <w:rPr>
          <w:sz w:val="20"/>
          <w:szCs w:val="20"/>
          <w:color w:val="auto"/>
        </w:rPr>
      </w:pPr>
    </w:p>
    <w:tbl>
      <w:tblPr>
        <w:tblLayout w:type="fixed"/>
        <w:tblInd w:w="572"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828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FF0FC"/>
          </w:tcPr>
          <w:p>
            <w:pPr>
              <w:spacing w:after="0"/>
              <w:rPr>
                <w:sz w:val="19"/>
                <w:szCs w:val="19"/>
                <w:color w:val="auto"/>
              </w:rPr>
            </w:pPr>
          </w:p>
        </w:tc>
      </w:tr>
      <w:tr>
        <w:trPr>
          <w:trHeight w:val="229"/>
        </w:trPr>
        <w:tc>
          <w:tcPr>
            <w:tcW w:w="8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tcPr>
          <w:p>
            <w:pPr>
              <w:spacing w:after="0"/>
              <w:rPr>
                <w:sz w:val="19"/>
                <w:szCs w:val="19"/>
                <w:color w:val="auto"/>
              </w:rPr>
            </w:pPr>
          </w:p>
        </w:tc>
      </w:tr>
      <w:tr>
        <w:trPr>
          <w:trHeight w:val="223"/>
        </w:trPr>
        <w:tc>
          <w:tcPr>
            <w:tcW w:w="8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572" w:hanging="572"/>
        <w:spacing w:after="0"/>
        <w:tabs>
          <w:tab w:leader="none" w:pos="57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17"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b w:val="1"/>
          <w:bCs w:val="1"/>
          <w:i w:val="1"/>
          <w:iCs w:val="1"/>
          <w:color w:val="auto"/>
        </w:rPr>
        <w:t>Biogen Agreement</w:t>
      </w:r>
    </w:p>
    <w:p>
      <w:pPr>
        <w:spacing w:after="0" w:line="121" w:lineRule="exact"/>
        <w:rPr>
          <w:sz w:val="20"/>
          <w:szCs w:val="20"/>
          <w:color w:val="auto"/>
        </w:rPr>
      </w:pPr>
    </w:p>
    <w:p>
      <w:pPr>
        <w:ind w:left="532" w:right="200"/>
        <w:spacing w:after="0" w:line="266" w:lineRule="auto"/>
        <w:rPr>
          <w:sz w:val="20"/>
          <w:szCs w:val="20"/>
          <w:color w:val="auto"/>
        </w:rPr>
      </w:pPr>
      <w:r>
        <w:rPr>
          <w:rFonts w:ascii="Times New Roman" w:cs="Times New Roman" w:eastAsia="Times New Roman" w:hAnsi="Times New Roman"/>
          <w:sz w:val="18"/>
          <w:szCs w:val="18"/>
          <w:color w:val="auto"/>
        </w:rPr>
        <w:t>In March 2022, the Company received written notice that Biogn is terminating the Biogen Agreement. Pursuant to the terms of the Biogen Agreement, termination will be effective in May 2022. As a result of the termination, Biogen will no longer have an exclusive license to develop, manufacture and commercialize CB 2782-PEG and other anti-C3 proteases for potential treatment of dry AMD and other disorders.</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445"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March 2022, the Company entered into a sublease agreement for one of its leased facilities that commences in April 2022. Under the terms of the sublease agreement, the Company will receive $0.2 million in base lease payments over the term of the sublease, which ends in April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2022, the Company entered into a financial advisor agreement with Raymond James &amp; Associates, Inc. (“Raymond James”) to help the Company evaluate the possible sale or merger of the Company with various third-parties. Raymond James will be paid an advisory fee of up to $1.0 million upon the effective sale or merger of the Company and will be reimbursed up to $20,000 for reasonable legal, travel and out-of-pocket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Event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2022, the Company announced that it intends to further reduce its workforce as part of its restructuring plan. Under the restructuring plan, the Company will provide employees one-time severance payments upon termination, continued benefits for a specific period, and outplacement services. The Company expects to incur total expenses of approximately $0.8 million, which is expected to be paid out during the second quarter of 2022.</w:t>
      </w:r>
    </w:p>
    <w:p>
      <w:pPr>
        <w:spacing w:after="0" w:line="31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60" w:top="549" w:right="379" w:bottom="1440" w:gutter="0" w:footer="0" w:header="0"/>
        </w:sectPr>
      </w:pPr>
    </w:p>
    <w:bookmarkStart w:id="102" w:name="page103"/>
    <w:bookmarkEnd w:id="102"/>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our Interim Chief Financial Officer (our principal executive officer and principal financial officer, respectively), as appropriate, to allow for timely decisions regarding required disclosure.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the Chief Executive Officer and Interim Chief Financial Officer, carried out an evaluation of the effectiveness of our disclosure controls and procedures as of the end of the period covered by this report. Based on this evaluation, our Chief Executive Officer and Interim Chief Financial Officer concluded that due to the material weakness in our internal control over financial reporting described below, our disclosure controls and procedures were not effective. In light of this material weakness, our management, including our Chief Executive Officer and Interim Chief Financial Officer, has performed additional analysis and other post-closing procedures and has concluded that, notwithstanding the material weakness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U.S. GAAP.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all misstatements. Our internal control system was designed to provide reasonable assurance to our management and board of directors regarding the preparation and fair presentation of published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2021. Our assessment was based on the framework in the updated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our management concluded that, as of December 31, 2021, a material weakness existed in our internal control over financial reporting. Because of the material weakness, management concluded that the Company did not maintain effective internal control over financial reporting as of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weakness related to the following control deficiency: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related to the review of certain contracts, including the proper application of U.S. GAAP. Specifically, we did not design and maintain controls to properly review the retention bonuses granted to our employees in November 2021 after our reduction in workforce to assess the appropriate accounting treatment under U.S. GAAP.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ind w:right="160"/>
        <w:spacing w:after="0" w:line="266" w:lineRule="auto"/>
        <w:rPr>
          <w:sz w:val="20"/>
          <w:szCs w:val="20"/>
          <w:color w:val="auto"/>
        </w:rPr>
      </w:pPr>
      <w:r>
        <w:rPr>
          <w:rFonts w:ascii="Times New Roman" w:cs="Times New Roman" w:eastAsia="Times New Roman" w:hAnsi="Times New Roman"/>
          <w:sz w:val="18"/>
          <w:szCs w:val="18"/>
          <w:color w:val="auto"/>
        </w:rPr>
        <w:t>The deficiency described above, if not remediated, could result in a misstatement of one or more account balances or disclosures in our consolidated financial statements that would not be prevented or detected, and, accordingly, we determined that this control deficiency constitutes a material weakness based on the criteria set forth in the 2013 Framework.</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our independent registered public accounting firm on the effectiveness of internal control over financial reporting due to an exemption for smaller reporting companies established by the rules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address our material weakness, we are evaluating our accounting policy over monitoring and reviewing contracts so that contracts with a significant impact are reviewed and U.S. GAAP is properly applied. We are also formalizing our internal control documentation and strengthening supervisory reviews by our management. 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as described above. Except as described above, there were no changes in our internal control over financial reporting (as such term is defined in Rule 13a-15(f) under the Exchange Act) during the fiscal quarter ended December 31, 2021 that have materially affected or are reasonably likely to materially affect our internal control over financial reporting.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4" w:name="page105"/>
    <w:bookmarkEnd w:id="104"/>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DISCLOSURES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sections titled “Information About Our Board of Directors” and “Information About Our Executive Officers Who Are Not Directors,” “Corporate Governance,” “Corporate Governance – Code of Business Conduct and Ethics,” “Delinquent Section 16(a) Reports,” “Corporate Governance – Committees of the Board of Directors – Nominating and Corporate Governance Committee,” “Corporate Governance – Committees of the Board of Directors – Audit Committee” and “Corporate Governance – Committees of the Board of Directors – Compensation Committee” in our definitive proxy statement to be filed with the SEC on Schedule 14A in connection with our 2021 Annual Meeting of Shareholders, or the Proxy Statement, which is expected to be filed not later than 120 days after December 31, 2021.</w:t>
      </w:r>
    </w:p>
    <w:p>
      <w:pPr>
        <w:spacing w:after="0" w:line="29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sections titled “Executive Compensation,” “Director Compensation” and “Committees of the Board of Directors — Compensation Committee Interlocks and Insider Participation” in the Proxy Statement and is incorporated herein by reference.</w:t>
      </w:r>
    </w:p>
    <w:p>
      <w:pPr>
        <w:spacing w:after="0" w:line="280" w:lineRule="exact"/>
        <w:rPr>
          <w:sz w:val="20"/>
          <w:szCs w:val="20"/>
          <w:color w:val="auto"/>
        </w:rPr>
      </w:pPr>
    </w:p>
    <w:p>
      <w:pPr>
        <w:ind w:left="1180" w:right="180" w:hanging="1173"/>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included in the sections titled “Securities Authorized For Issuance Under Equity Compensation Plans” and “Security Ownership of Certain Beneficial Owners and Management” in the Proxy Statement and is incorporated herein by reference.</w:t>
      </w:r>
    </w:p>
    <w:p>
      <w:pPr>
        <w:spacing w:after="0" w:line="2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included in the sections titled “Corporate Governance – Board of Directors Independence” and “Transactions With Related Persons” in the Proxy Statement and is incorporated herein by reference.</w:t>
      </w:r>
    </w:p>
    <w:p>
      <w:pPr>
        <w:spacing w:after="0" w:line="26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included in the sections titled “Independent Registered Public Accounting Firm Fees and Services” in the Proxy Statement and is incorporated herein by reference.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6" w:name="page107"/>
    <w:bookmarkEnd w:id="10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 Consolidated Financial Statements</w:t>
      </w:r>
    </w:p>
    <w:p>
      <w:pPr>
        <w:spacing w:after="0" w:line="2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See Index to Consolidated Financial Statements at Part II, Item 8 Financial Statements and Supplementary Data, herein.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 Consolidated Financial Statement Schedules</w:t>
      </w:r>
    </w:p>
    <w:p>
      <w:pPr>
        <w:spacing w:after="0" w:line="225" w:lineRule="exact"/>
        <w:rPr>
          <w:sz w:val="20"/>
          <w:szCs w:val="20"/>
          <w:color w:val="auto"/>
        </w:rPr>
      </w:pPr>
    </w:p>
    <w:p>
      <w:pPr>
        <w:ind w:left="118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under Item 8. “Financial Statements and Supplementary Data” of this Annual Report on Form 10-K.</w:t>
      </w:r>
    </w:p>
    <w:p>
      <w:pPr>
        <w:spacing w:after="0" w:line="162" w:lineRule="exact"/>
        <w:rPr>
          <w:sz w:val="20"/>
          <w:szCs w:val="20"/>
          <w:color w:val="auto"/>
        </w:rPr>
      </w:pPr>
    </w:p>
    <w:p>
      <w:pPr>
        <w:ind w:left="780" w:hanging="183"/>
        <w:spacing w:after="0"/>
        <w:tabs>
          <w:tab w:leader="none" w:pos="7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LIST OF EXHIBITS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LIST OF EXHIBITS</w:t>
      </w:r>
    </w:p>
    <w:p>
      <w:pPr>
        <w:spacing w:after="0" w:line="37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549" w:right="6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Filed or</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4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2.1(a)</w:t>
            </w:r>
          </w:p>
        </w:tc>
        <w:tc>
          <w:tcPr>
            <w:tcW w:w="5060" w:type="dxa"/>
            <w:vAlign w:val="bottom"/>
            <w:gridSpan w:val="24"/>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Agreement and Plan of Merger dated as of March 5, 2015, by </w:t>
              </w:r>
            </w:hyperlink>
            <w:r>
              <w:rPr>
                <w:rFonts w:ascii="Times New Roman" w:cs="Times New Roman" w:eastAsia="Times New Roman" w:hAnsi="Times New Roman"/>
                <w:sz w:val="18"/>
                <w:szCs w:val="18"/>
                <w:color w:val="000000"/>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 6,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and among Targacept, Catalyst Biosciences, Inc. and Talos</w:t>
              </w:r>
            </w:hyperlink>
          </w:p>
        </w:tc>
        <w:tc>
          <w:tcPr>
            <w:tcW w:w="200" w:type="dxa"/>
            <w:vAlign w:val="bottom"/>
            <w:tcBorders>
              <w:top w:val="single" w:sz="8" w:color="0000EE"/>
            </w:tcBorders>
            <w:gridSpan w:val="6"/>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Merger Sub, Inc.</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2.1(b)</w:t>
            </w:r>
          </w:p>
        </w:tc>
        <w:tc>
          <w:tcPr>
            <w:tcW w:w="4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No. 1 to Agreement and Plan of Merger by and</w:t>
              </w:r>
            </w:hyperlink>
          </w:p>
        </w:tc>
        <w:tc>
          <w:tcPr>
            <w:tcW w:w="80" w:type="dxa"/>
            <w:vAlign w:val="bottom"/>
            <w:gridSpan w:val="3"/>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12,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among Targacept, Talos Merger Sub, Inc., and Catalyst dated</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May 6, 2015.</w:t>
              </w:r>
            </w:hyperlink>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2.1(c)</w:t>
            </w:r>
          </w:p>
        </w:tc>
        <w:tc>
          <w:tcPr>
            <w:tcW w:w="4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2 to Agreement and Plan of Merger by and</w:t>
              </w:r>
            </w:hyperlink>
          </w:p>
        </w:tc>
        <w:tc>
          <w:tcPr>
            <w:tcW w:w="80" w:type="dxa"/>
            <w:vAlign w:val="bottom"/>
            <w:gridSpan w:val="3"/>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14,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among Targacept, Talos Merger Sub, Inc., and Catalyst dated</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May 13, 2015.</w:t>
              </w:r>
            </w:hyperlink>
          </w:p>
        </w:tc>
        <w:tc>
          <w:tcPr>
            <w:tcW w:w="334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4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Fourth Amended and Restated Certificate of Incorporation of</w:t>
              </w:r>
            </w:hyperlink>
          </w:p>
        </w:tc>
        <w:tc>
          <w:tcPr>
            <w:tcW w:w="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333-133881</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8, 2006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the Company.</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Certificate of Amendment to Fourth the Amended and</w:t>
              </w:r>
            </w:hyperlink>
          </w:p>
        </w:tc>
        <w:tc>
          <w:tcPr>
            <w:tcW w:w="520" w:type="dxa"/>
            <w:vAlign w:val="bottom"/>
            <w:gridSpan w:val="11"/>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 20,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Restated Certificate of Incorporation of the Company.</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2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Second Certificate of Amendment to the Fourth Amended</w:t>
              </w:r>
            </w:hyperlink>
          </w:p>
        </w:tc>
        <w:tc>
          <w:tcPr>
            <w:tcW w:w="240" w:type="dxa"/>
            <w:vAlign w:val="bottom"/>
            <w:gridSpan w:val="7"/>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 10,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and Restated Certificate of Incorporation of the Company.</w:t>
              </w:r>
            </w:hyperlink>
          </w:p>
        </w:tc>
        <w:tc>
          <w:tcPr>
            <w:tcW w:w="24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Bylaws of the Company, as amended.</w:t>
              </w:r>
            </w:hyperlink>
          </w:p>
        </w:tc>
        <w:tc>
          <w:tcPr>
            <w:tcW w:w="1720" w:type="dxa"/>
            <w:vAlign w:val="bottom"/>
            <w:gridSpan w:val="14"/>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 6,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Designation of Preferences, Rights and</w:t>
              </w:r>
            </w:hyperlink>
          </w:p>
        </w:tc>
        <w:tc>
          <w:tcPr>
            <w:tcW w:w="560" w:type="dxa"/>
            <w:vAlign w:val="bottom"/>
            <w:gridSpan w:val="12"/>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 13,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Limitations, filed with the Delaware Secretary of State on</w:t>
              </w:r>
            </w:hyperlink>
          </w:p>
        </w:tc>
        <w:tc>
          <w:tcPr>
            <w:tcW w:w="2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April 10, 2017, with respect to the Series A Preferred Stock.</w:t>
              </w:r>
            </w:hyperlink>
          </w:p>
        </w:tc>
        <w:tc>
          <w:tcPr>
            <w:tcW w:w="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Description of Securities.</w:t>
              </w:r>
            </w:hyperlink>
          </w:p>
        </w:tc>
        <w:tc>
          <w:tcPr>
            <w:tcW w:w="2600" w:type="dxa"/>
            <w:vAlign w:val="bottom"/>
            <w:gridSpan w:val="16"/>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 20,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Warrant to Purchase Stock of Catalyst Biosciences, Inc.,</w:t>
              </w:r>
            </w:hyperlink>
          </w:p>
        </w:tc>
        <w:tc>
          <w:tcPr>
            <w:tcW w:w="380" w:type="dxa"/>
            <w:vAlign w:val="bottom"/>
            <w:gridSpan w:val="10"/>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 9,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issued to Silicon Valley Bank on March 3, 2005.</w:t>
              </w:r>
            </w:hyperlink>
          </w:p>
        </w:tc>
        <w:tc>
          <w:tcPr>
            <w:tcW w:w="94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440" w:type="dxa"/>
            <w:vAlign w:val="bottom"/>
            <w:gridSpan w:val="23"/>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Warrant to Purchase Stock of Catalyst Biosciences,</w:t>
              </w:r>
            </w:hyperlink>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 9,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Inc., issued to purchasers of convertible promissory notes.</w:t>
              </w:r>
            </w:hyperlink>
          </w:p>
        </w:tc>
        <w:tc>
          <w:tcPr>
            <w:tcW w:w="120" w:type="dxa"/>
            <w:vAlign w:val="bottom"/>
            <w:tcBorders>
              <w:top w:val="single" w:sz="8" w:color="0000EE"/>
            </w:tcBorders>
            <w:gridSpan w:val="2"/>
          </w:tcPr>
          <w:p>
            <w:pPr>
              <w:spacing w:after="0"/>
              <w:rPr>
                <w:sz w:val="17"/>
                <w:szCs w:val="17"/>
                <w:color w:val="auto"/>
              </w:rPr>
            </w:pPr>
          </w:p>
        </w:tc>
        <w:tc>
          <w:tcPr>
            <w:tcW w:w="12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1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Catalyst Biosciences, Inc. (formerly Targacept, Inc.) 2015</w:t>
              </w:r>
            </w:hyperlink>
          </w:p>
        </w:tc>
        <w:tc>
          <w:tcPr>
            <w:tcW w:w="260" w:type="dxa"/>
            <w:vAlign w:val="bottom"/>
            <w:gridSpan w:val="8"/>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A</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 25,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Stock Incentive Plan (as Amended and Restated Effective</w:t>
              </w:r>
            </w:hyperlink>
          </w:p>
        </w:tc>
        <w:tc>
          <w:tcPr>
            <w:tcW w:w="6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June 9, 2016).</w:t>
              </w:r>
            </w:hyperlink>
          </w:p>
        </w:tc>
        <w:tc>
          <w:tcPr>
            <w:tcW w:w="28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3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Catalyst Biosciences, Inc. 2016 Inducement Stock Incentive</w:t>
              </w:r>
            </w:hyperlink>
          </w:p>
        </w:tc>
        <w:tc>
          <w:tcPr>
            <w:tcW w:w="100" w:type="dxa"/>
            <w:vAlign w:val="bottom"/>
            <w:gridSpan w:val="4"/>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 20,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Plan.</w:t>
              </w:r>
            </w:hyperlink>
          </w:p>
        </w:tc>
        <w:tc>
          <w:tcPr>
            <w:tcW w:w="406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440" w:type="dxa"/>
            <w:vAlign w:val="bottom"/>
            <w:gridSpan w:val="23"/>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Catalyst's 2004 Stock Plan.</w:t>
              </w:r>
            </w:hyperlink>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S-4</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333-204423</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10.31(a)</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22,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Filed or</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60" w:type="dxa"/>
            <w:vAlign w:val="bottom"/>
          </w:tcPr>
          <w:p>
            <w:pPr>
              <w:spacing w:after="0"/>
              <w:rPr>
                <w:sz w:val="18"/>
                <w:szCs w:val="18"/>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4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Incentive Stock Option Award Notice.</w:t>
              </w:r>
            </w:hyperlink>
          </w:p>
        </w:tc>
        <w:tc>
          <w:tcPr>
            <w:tcW w:w="1060" w:type="dxa"/>
            <w:vAlign w:val="bottom"/>
            <w:gridSpan w:val="18"/>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14,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Non-qualified Stock Option Award Notice.</w:t>
              </w:r>
            </w:hyperlink>
          </w:p>
        </w:tc>
        <w:tc>
          <w:tcPr>
            <w:tcW w:w="720" w:type="dxa"/>
            <w:vAlign w:val="bottom"/>
            <w:gridSpan w:val="15"/>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14,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Catalyst Biosciences, Inc. 2018 Omnibus Incentive Plan.</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Appendix A</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 2020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14A</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Catalyst Biosciences, Inc. 2018 Employee Stock Purchase</w:t>
              </w:r>
            </w:hyperlink>
          </w:p>
        </w:tc>
        <w:tc>
          <w:tcPr>
            <w:tcW w:w="260" w:type="dxa"/>
            <w:vAlign w:val="bottom"/>
            <w:gridSpan w:val="8"/>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Appendix B</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11, 2018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Plan.</w:t>
              </w:r>
            </w:hyperlink>
          </w:p>
        </w:tc>
        <w:tc>
          <w:tcPr>
            <w:tcW w:w="4080" w:type="dxa"/>
            <w:vAlign w:val="bottom"/>
            <w:gridSpan w:val="26"/>
          </w:tcPr>
          <w:p>
            <w:pPr>
              <w:spacing w:after="0"/>
              <w:rPr>
                <w:sz w:val="17"/>
                <w:szCs w:val="17"/>
                <w:color w:val="auto"/>
              </w:rPr>
            </w:pPr>
          </w:p>
        </w:tc>
        <w:tc>
          <w:tcPr>
            <w:tcW w:w="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14A</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13">
              <w:r>
                <w:rPr>
                  <w:rFonts w:ascii="Times New Roman" w:cs="Times New Roman" w:eastAsia="Times New Roman" w:hAnsi="Times New Roman"/>
                  <w:sz w:val="18"/>
                  <w:szCs w:val="18"/>
                  <w:color w:val="0000EE"/>
                  <w:w w:val="98"/>
                </w:rPr>
                <w:t>Form of Stock Option Award Agreement.</w:t>
              </w:r>
            </w:hyperlink>
          </w:p>
        </w:tc>
        <w:tc>
          <w:tcPr>
            <w:tcW w:w="1460" w:type="dxa"/>
            <w:vAlign w:val="bottom"/>
            <w:gridSpan w:val="19"/>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39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License Agreement, dated as of April 15, 2021, by and</w:t>
              </w:r>
            </w:hyperlink>
          </w:p>
        </w:tc>
        <w:tc>
          <w:tcPr>
            <w:tcW w:w="500" w:type="dxa"/>
            <w:vAlign w:val="bottom"/>
            <w:gridSpan w:val="14"/>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5, 2021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between SL 2T, LLC and Catalyst Biosciences, Inc.</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Employment Agreement, dated as of</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 31, 2018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August 28, 2018, by and between Catalyst Biosciences, Inc.</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and Dr. Nassim Usman, Ph.D.</w:t>
              </w:r>
            </w:hyperlink>
          </w:p>
        </w:tc>
        <w:tc>
          <w:tcPr>
            <w:tcW w:w="228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Amended and Restated Employment Agreement, dated as of</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 31, 2018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August 29, 2018, by and between Catalyst Biosciences, Inc.</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and Dr. Howard Levy, M.B.B.Ch., Ph.D., M.M.M.</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 License Agreement, dated December</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10.16</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29,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17, 2018, by and between Catalyst Biosciences, Inc. and ISU</w:t>
              </w:r>
            </w:hyperlink>
          </w:p>
        </w:tc>
        <w:tc>
          <w:tcPr>
            <w:tcW w:w="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Abxis.</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Development and Manufacturing Services Agreement, by</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 4, 2016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and between CMC ICOS Biologics, Inc. and Biosciences,</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Inc., dated as of May 20, 2016.</w:t>
              </w:r>
            </w:hyperlink>
          </w:p>
        </w:tc>
        <w:tc>
          <w:tcPr>
            <w:tcW w:w="3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460" w:type="dxa"/>
            <w:vAlign w:val="bottom"/>
            <w:gridSpan w:val="27"/>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Termination Agreement, dated December 8, 2016, between</w:t>
              </w:r>
            </w:hyperlink>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10.16</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 8,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Catalyst Biosciences, Inc. and Wyeth LLC, a wholly-owned</w:t>
              </w:r>
            </w:hyperlink>
          </w:p>
        </w:tc>
        <w:tc>
          <w:tcPr>
            <w:tcW w:w="1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subsidiary of Pfizer Inc.</w:t>
              </w:r>
            </w:hyperlink>
          </w:p>
        </w:tc>
        <w:tc>
          <w:tcPr>
            <w:tcW w:w="272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10.15(a)</w:t>
            </w:r>
          </w:p>
        </w:tc>
        <w:tc>
          <w:tcPr>
            <w:tcW w:w="43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Lease Agreement, dated November 8, 2017 by and between</w:t>
              </w:r>
            </w:hyperlink>
          </w:p>
        </w:tc>
        <w:tc>
          <w:tcPr>
            <w:tcW w:w="140" w:type="dxa"/>
            <w:vAlign w:val="bottom"/>
            <w:gridSpan w:val="6"/>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 17, 2017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BXP 611 Gateway Center, LP and Catalyst Biosciences, Inc..</w:t>
              </w:r>
            </w:hyperlink>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10.15(b)</w:t>
            </w:r>
          </w:p>
        </w:tc>
        <w:tc>
          <w:tcPr>
            <w:tcW w:w="4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First Amendment to Office Lease, dated as of August 9,</w:t>
              </w:r>
            </w:hyperlink>
          </w:p>
        </w:tc>
        <w:tc>
          <w:tcPr>
            <w:tcW w:w="420" w:type="dxa"/>
            <w:vAlign w:val="bottom"/>
            <w:gridSpan w:val="12"/>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 15, 2018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2018, by and between BXP 611 Gateway Center, LP and</w:t>
              </w:r>
            </w:hyperlink>
          </w:p>
        </w:tc>
        <w:tc>
          <w:tcPr>
            <w:tcW w:w="36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Catalyst Biosciences, Inc.</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Clinical Supply Agreement, effective as of October 4, 2019,</w:t>
              </w:r>
            </w:hyperlink>
          </w:p>
        </w:tc>
        <w:tc>
          <w:tcPr>
            <w:tcW w:w="120" w:type="dxa"/>
            <w:vAlign w:val="bottom"/>
            <w:gridSpan w:val="5"/>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000-51173</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15,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by and between Catalyst Biosciences, Inc. and Catalent</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Indiana, LLC.</w:t>
              </w:r>
            </w:hyperlink>
          </w:p>
        </w:tc>
        <w:tc>
          <w:tcPr>
            <w:tcW w:w="48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Filed or</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60" w:type="dxa"/>
            <w:vAlign w:val="bottom"/>
          </w:tcPr>
          <w:p>
            <w:pPr>
              <w:spacing w:after="0"/>
              <w:rPr>
                <w:sz w:val="18"/>
                <w:szCs w:val="18"/>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6"/>
              </w:rPr>
              <w:t>Furnished</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4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460" w:type="dxa"/>
            <w:vAlign w:val="bottom"/>
            <w:gridSpan w:val="28"/>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License and Collaboration Agreement, dated December 18,</w:t>
              </w:r>
            </w:hyperlink>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10.17</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20,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2019, by and between Biogen International GMBH and</w:t>
              </w:r>
            </w:hyperlink>
          </w:p>
        </w:tc>
        <w:tc>
          <w:tcPr>
            <w:tcW w:w="1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Catalyst Biosciences, Inc.</w:t>
              </w:r>
            </w:hyperlink>
          </w:p>
        </w:tc>
        <w:tc>
          <w:tcPr>
            <w:tcW w:w="46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Amended and Restated Collaboration Agreement, dated</w:t>
              </w:r>
            </w:hyperlink>
          </w:p>
        </w:tc>
        <w:tc>
          <w:tcPr>
            <w:tcW w:w="420" w:type="dxa"/>
            <w:vAlign w:val="bottom"/>
            <w:gridSpan w:val="12"/>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10.18</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20,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December 18, 2019, by and between Mosaic Biosciences,</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Inc. and Catalyst Biosciences, Inc.</w:t>
              </w:r>
            </w:hyperlink>
          </w:p>
        </w:tc>
        <w:tc>
          <w:tcPr>
            <w:tcW w:w="3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0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Cooperation Agreement, dated January 13, 2020, by and</w:t>
              </w:r>
            </w:hyperlink>
          </w:p>
        </w:tc>
        <w:tc>
          <w:tcPr>
            <w:tcW w:w="380" w:type="dxa"/>
            <w:vAlign w:val="bottom"/>
            <w:gridSpan w:val="11"/>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10,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between CCUR Holdings, Inc. and certain of its affiliates and</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Catalyst Biosciences, Inc.</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60" w:type="dxa"/>
            <w:vAlign w:val="bottom"/>
            <w:gridSpan w:val="28"/>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Description of Annual Cash Incentive Program.</w:t>
              </w:r>
            </w:hyperlink>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10.20</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20,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60" w:type="dxa"/>
            <w:vAlign w:val="bottom"/>
            <w:gridSpan w:val="28"/>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Indemnification Agreement between the Company</w:t>
              </w:r>
            </w:hyperlink>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31, 2018</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and each of its directors and members of executive</w:t>
              </w:r>
            </w:hyperlink>
          </w:p>
        </w:tc>
        <w:tc>
          <w:tcPr>
            <w:tcW w:w="1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management.</w:t>
              </w:r>
            </w:hyperlink>
          </w:p>
        </w:tc>
        <w:tc>
          <w:tcPr>
            <w:tcW w:w="80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4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Amended and Restated Collaboration Agreement, dated May</w:t>
              </w:r>
            </w:hyperlink>
          </w:p>
        </w:tc>
        <w:tc>
          <w:tcPr>
            <w:tcW w:w="40" w:type="dxa"/>
            <w:vAlign w:val="bottom"/>
            <w:gridSpan w:val="2"/>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6,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8, 2020, by and between Mosaic Biosciences, Inc. and</w:t>
              </w:r>
            </w:hyperlink>
          </w:p>
        </w:tc>
        <w:tc>
          <w:tcPr>
            <w:tcW w:w="54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Catalyst Biosciences, Inc.</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4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Second Amendment to Office Lease, dated July 17, 2020, by</w:t>
              </w:r>
            </w:hyperlink>
          </w:p>
        </w:tc>
        <w:tc>
          <w:tcPr>
            <w:tcW w:w="60" w:type="dxa"/>
            <w:vAlign w:val="bottom"/>
            <w:gridSpan w:val="3"/>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5,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and between 611 Gateway Center, L.P. and Catalyst</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Biosciences, Inc.</w:t>
              </w:r>
            </w:hyperlink>
          </w:p>
        </w:tc>
        <w:tc>
          <w:tcPr>
            <w:tcW w:w="74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60" w:type="dxa"/>
            <w:vAlign w:val="bottom"/>
            <w:gridSpan w:val="28"/>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Offer Letter by and between Clinton Musil and Catalyst</w:t>
              </w:r>
            </w:hyperlink>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5, 2020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Biosciences, Inc. dated June 9, 2020.</w:t>
              </w:r>
            </w:hyperlink>
          </w:p>
        </w:tc>
        <w:tc>
          <w:tcPr>
            <w:tcW w:w="44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4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List of subsidiaries of Catalyst Biosciences, Inc.</w:t>
              </w:r>
            </w:hyperlink>
          </w:p>
        </w:tc>
        <w:tc>
          <w:tcPr>
            <w:tcW w:w="980" w:type="dxa"/>
            <w:vAlign w:val="bottom"/>
            <w:gridSpan w:val="18"/>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000-51173</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9, 2016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121">
              <w:r>
                <w:rPr>
                  <w:rFonts w:ascii="Times New Roman" w:cs="Times New Roman" w:eastAsia="Times New Roman" w:hAnsi="Times New Roman"/>
                  <w:sz w:val="18"/>
                  <w:szCs w:val="18"/>
                  <w:color w:val="0000EE"/>
                  <w:w w:val="99"/>
                </w:rPr>
                <w:t>Consent of EisnerAmper LLP, Independent Registered Public</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Accounting Firm.</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Power of Attorney (included as part of the signature page</w:t>
              </w:r>
            </w:hyperlink>
          </w:p>
        </w:tc>
        <w:tc>
          <w:tcPr>
            <w:tcW w:w="32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hereto).</w:t>
              </w:r>
            </w:hyperlink>
          </w:p>
        </w:tc>
        <w:tc>
          <w:tcPr>
            <w:tcW w:w="3900" w:type="dxa"/>
            <w:vAlign w:val="bottom"/>
            <w:gridSpan w:val="27"/>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Certification of the Chief Executive Officer pursuant to Rule</w:t>
              </w:r>
            </w:hyperlink>
          </w:p>
        </w:tc>
        <w:tc>
          <w:tcPr>
            <w:tcW w:w="8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13a-14(a) and 15d-14(a) of the Securities Exchange Act of</w:t>
              </w:r>
            </w:hyperlink>
          </w:p>
        </w:tc>
        <w:tc>
          <w:tcPr>
            <w:tcW w:w="2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1934, as adopted pursuant to Section 302 of the Sarbanes-</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Oxley Act of 2002.</w:t>
              </w:r>
            </w:hyperlink>
          </w:p>
        </w:tc>
        <w:tc>
          <w:tcPr>
            <w:tcW w:w="2780" w:type="dxa"/>
            <w:vAlign w:val="bottom"/>
            <w:tcBorders>
              <w:top w:val="single" w:sz="8" w:color="0000EE"/>
            </w:tcBorders>
            <w:gridSpan w:val="15"/>
          </w:tcPr>
          <w:p>
            <w:pPr>
              <w:spacing w:after="0"/>
              <w:rPr>
                <w:sz w:val="17"/>
                <w:szCs w:val="17"/>
                <w:color w:val="auto"/>
              </w:rPr>
            </w:pPr>
          </w:p>
        </w:tc>
        <w:tc>
          <w:tcPr>
            <w:tcW w:w="28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Certification of the Interim Chief Financial Officer pursuant</w:t>
              </w:r>
            </w:hyperlink>
          </w:p>
        </w:tc>
        <w:tc>
          <w:tcPr>
            <w:tcW w:w="1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8"/>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to Rule 13a-14(a) and 15d-14(a) of the Securities Exchange</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88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u w:val="single" w:color="auto"/>
            <w:color w:val="0000EE"/>
          </w:rPr>
          <w:t>Act of 1934,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adopted pursuant to Section 302 of the</w:t>
        </w:r>
      </w:hyperlink>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3" w:right="5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Filed or</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20" w:type="dxa"/>
            <w:vAlign w:val="bottom"/>
          </w:tcPr>
          <w:p>
            <w:pPr>
              <w:spacing w:after="0"/>
              <w:rPr>
                <w:sz w:val="18"/>
                <w:szCs w:val="18"/>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Furnished</w:t>
            </w: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File No.</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w:t>
            </w: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Certification of the Chief Executive Officer pursuant to Rule</w:t>
              </w:r>
            </w:hyperlink>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9"/>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13a-14(b) of the Exchange Act and 18 U.S.C. Section 1350,</w:t>
              </w:r>
            </w:hyperlink>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as adopted pursuant to Section 906 of the Sarbanes-Oxley</w:t>
              </w:r>
            </w:hyperlink>
          </w:p>
        </w:tc>
        <w:tc>
          <w:tcPr>
            <w:tcW w:w="14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Act of 2002.</w:t>
              </w:r>
            </w:hyperlink>
          </w:p>
        </w:tc>
        <w:tc>
          <w:tcPr>
            <w:tcW w:w="3520" w:type="dxa"/>
            <w:vAlign w:val="bottom"/>
            <w:gridSpan w:val="8"/>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Certification of the Interim Chief Financial Officer pursuant</w:t>
              </w:r>
            </w:hyperlink>
          </w:p>
        </w:tc>
        <w:tc>
          <w:tcPr>
            <w:tcW w:w="1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9"/>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to Rule 13a-14(b) of the Exchange Act and 18 U.S.C.</w:t>
              </w:r>
            </w:hyperlink>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Section 1350, as adopted pursuant to Section 906 of the</w:t>
              </w:r>
            </w:hyperlink>
          </w:p>
        </w:tc>
        <w:tc>
          <w:tcPr>
            <w:tcW w:w="42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9"/>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Sarbanes-Oxley Act of 2002.</w:t>
              </w:r>
            </w:hyperlink>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2021,</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in Inline XBRL (eXtensible Business Reporting</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Language): (i) the Consolidated Balance Sheets as of</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December 31, 2021 and December 31, 2020; (ii) the</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 of Operations for the years ended</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5840" w:firstLine="5"/>
        <w:spacing w:after="0" w:line="257" w:lineRule="auto"/>
        <w:tabs>
          <w:tab w:leader="none" w:pos="1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twelve months ended December 31, 2021 and 2020; and (vi) the Notes to the Consolidated Financial Statements.</w:t>
      </w:r>
    </w:p>
    <w:p>
      <w:pPr>
        <w:spacing w:after="0" w:line="1" w:lineRule="exact"/>
        <w:rPr>
          <w:sz w:val="20"/>
          <w:szCs w:val="20"/>
          <w:color w:val="auto"/>
        </w:rPr>
      </w:pPr>
    </w:p>
    <w:p>
      <w:pPr>
        <w:ind w:left="880" w:right="5920" w:hanging="872"/>
        <w:spacing w:after="0" w:line="260"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3716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34" w:lineRule="exact"/>
        <w:rPr>
          <w:sz w:val="20"/>
          <w:szCs w:val="20"/>
          <w:color w:val="auto"/>
        </w:rPr>
      </w:pPr>
    </w:p>
    <w:p>
      <w:pPr>
        <w:ind w:left="580" w:hanging="572"/>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compensatory plan or arrangement.</w:t>
      </w:r>
    </w:p>
    <w:p>
      <w:pPr>
        <w:spacing w:after="0" w:line="27" w:lineRule="exact"/>
        <w:rPr>
          <w:sz w:val="20"/>
          <w:szCs w:val="20"/>
          <w:color w:val="auto"/>
        </w:rPr>
      </w:pPr>
    </w:p>
    <w:p>
      <w:pPr>
        <w:ind w:left="580" w:hanging="572"/>
        <w:spacing w:after="0"/>
        <w:tabs>
          <w:tab w:leader="none" w:pos="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which portions have been omitted and filed separately with</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SEC as part of an application for confidential treatment.</w:t>
      </w:r>
    </w:p>
    <w:p>
      <w:pPr>
        <w:spacing w:after="0" w:line="9" w:lineRule="exact"/>
        <w:rPr>
          <w:sz w:val="20"/>
          <w:szCs w:val="20"/>
          <w:color w:val="auto"/>
        </w:rPr>
      </w:pPr>
    </w:p>
    <w:p>
      <w:pPr>
        <w:ind w:left="580" w:right="100" w:hanging="572"/>
        <w:spacing w:after="0" w:line="260"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CATALYST BIOSCIENCES, INC</w:t>
            </w:r>
          </w:p>
        </w:tc>
        <w:tc>
          <w:tcPr>
            <w:tcW w:w="38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CATALYST BIOSCIENCES, INC.</w:t>
            </w:r>
          </w:p>
        </w:tc>
      </w:tr>
      <w:tr>
        <w:trPr>
          <w:trHeight w:val="44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Nassim Usman, Ph.D.</w:t>
            </w: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Seline Miller</w:t>
            </w:r>
          </w:p>
        </w:tc>
      </w:tr>
      <w:tr>
        <w:trPr>
          <w:trHeight w:val="432"/>
        </w:trPr>
        <w:tc>
          <w:tcPr>
            <w:tcW w:w="4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Nassim Usman, Ph.D.</w:t>
            </w:r>
          </w:p>
        </w:tc>
        <w:tc>
          <w:tcPr>
            <w:tcW w:w="1380" w:type="dxa"/>
            <w:vAlign w:val="bottom"/>
          </w:tcPr>
          <w:p>
            <w:pPr>
              <w:spacing w:after="0"/>
              <w:rPr>
                <w:sz w:val="24"/>
                <w:szCs w:val="24"/>
                <w:color w:val="auto"/>
              </w:rPr>
            </w:pP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Seline Miller</w:t>
            </w:r>
          </w:p>
        </w:tc>
      </w:tr>
      <w:tr>
        <w:trPr>
          <w:trHeight w:val="243"/>
        </w:trPr>
        <w:tc>
          <w:tcPr>
            <w:tcW w:w="460" w:type="dxa"/>
            <w:vAlign w:val="bottom"/>
          </w:tcPr>
          <w:p>
            <w:pPr>
              <w:spacing w:after="0"/>
              <w:rPr>
                <w:sz w:val="21"/>
                <w:szCs w:val="21"/>
                <w:color w:val="auto"/>
              </w:rPr>
            </w:pP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c>
          <w:tcPr>
            <w:tcW w:w="1380" w:type="dxa"/>
            <w:vAlign w:val="bottom"/>
          </w:tcPr>
          <w:p>
            <w:pPr>
              <w:spacing w:after="0"/>
              <w:rPr>
                <w:sz w:val="21"/>
                <w:szCs w:val="21"/>
                <w:color w:val="auto"/>
              </w:rPr>
            </w:pP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Interim Chief Financial Officer</w:t>
            </w:r>
          </w:p>
        </w:tc>
      </w:tr>
      <w:tr>
        <w:trPr>
          <w:trHeight w:val="4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31, 2022</w:t>
            </w: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31, 2022</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Nassim Usman and Seline Miller,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360" w:type="dxa"/>
            <w:vAlign w:val="bottom"/>
            <w:tcBorders>
              <w:bottom w:val="single" w:sz="8" w:color="auto"/>
            </w:tcBorders>
          </w:tcPr>
          <w:p>
            <w:pPr>
              <w:jc w:val="right"/>
              <w:ind w:right="1892"/>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2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1"/>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Nassim Usman, Ph.D.</w:t>
            </w:r>
          </w:p>
        </w:tc>
        <w:tc>
          <w:tcPr>
            <w:tcW w:w="12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Nassim Usman, Ph.D.</w:t>
            </w:r>
          </w:p>
        </w:tc>
        <w:tc>
          <w:tcPr>
            <w:tcW w:w="120" w:type="dxa"/>
            <w:vAlign w:val="bottom"/>
          </w:tcPr>
          <w:p>
            <w:pPr>
              <w:spacing w:after="0"/>
              <w:rPr>
                <w:sz w:val="20"/>
                <w:szCs w:val="20"/>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Seline Miller</w:t>
            </w:r>
          </w:p>
        </w:tc>
        <w:tc>
          <w:tcPr>
            <w:tcW w:w="12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 (Interim Financial and</w:t>
            </w:r>
          </w:p>
        </w:tc>
        <w:tc>
          <w:tcPr>
            <w:tcW w:w="2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118"/>
        </w:trPr>
        <w:tc>
          <w:tcPr>
            <w:tcW w:w="44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4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Seline Miller</w:t>
            </w:r>
          </w:p>
        </w:tc>
        <w:tc>
          <w:tcPr>
            <w:tcW w:w="120" w:type="dxa"/>
            <w:vAlign w:val="bottom"/>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Augustine Lawlor</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Augustine Lawlor</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Errol B. De Souza, Ph.D.</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Errol B. De Souza, Ph.D.</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Andrea Hunt</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Andrea Hunt</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Jeanne Jew</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Jeanne Jew</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Geoffrey Ling, M.D., Ph.D.</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Geoffrey Ling, M.D., Ph.D.</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Sharon Tetlow</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Sharon Tetlow</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Eddie Williams</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March 31, 2022</w:t>
            </w:r>
          </w:p>
        </w:tc>
        <w:tc>
          <w:tcPr>
            <w:tcW w:w="0" w:type="dxa"/>
            <w:vAlign w:val="bottom"/>
          </w:tcPr>
          <w:p>
            <w:pPr>
              <w:spacing w:after="0"/>
              <w:rPr>
                <w:sz w:val="1"/>
                <w:szCs w:val="1"/>
                <w:color w:val="auto"/>
              </w:rPr>
            </w:pPr>
          </w:p>
        </w:tc>
      </w:tr>
      <w:tr>
        <w:trPr>
          <w:trHeight w:val="232"/>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Eddie Williams</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4400" w:type="dxa"/>
            <w:vAlign w:val="bottom"/>
          </w:tcPr>
          <w:p>
            <w:pPr>
              <w:spacing w:after="0"/>
              <w:rPr>
                <w:sz w:val="24"/>
                <w:szCs w:val="24"/>
                <w:color w:val="auto"/>
              </w:rPr>
            </w:pPr>
          </w:p>
        </w:tc>
        <w:tc>
          <w:tcPr>
            <w:tcW w:w="4480" w:type="dxa"/>
            <w:vAlign w:val="bottom"/>
            <w:gridSpan w:val="2"/>
          </w:tcPr>
          <w:p>
            <w:pPr>
              <w:jc w:val="right"/>
              <w:ind w:right="3032"/>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 2018 OMNIBUS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AWARD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3454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51435</wp:posOffset>
            </wp:positionV>
            <wp:extent cx="3454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0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You (the “Grantee”) have been granted an option to purchase shares of Common Stock (the “Option”), subject to the terms and conditions of this Notice of Stock Option Award (the “Notice”), the Catalyst Biosciences, Inc. 2018 Omnibus Incentive Plan, as amended from time to time (the “Plan”) and the Stock Option Award Agreement (the “Option Agreement”) attached hereto, as follows. Unless otherwise defined herein, the terms defined in the Plan shall have the same defined meanings in this Notice.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9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9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0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90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0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Number of Shares Subject</w:t>
            </w:r>
          </w:p>
        </w:tc>
        <w:tc>
          <w:tcPr>
            <w:tcW w:w="19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40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 the Option (the “Shares”)</w:t>
            </w:r>
          </w:p>
        </w:tc>
        <w:tc>
          <w:tcPr>
            <w:tcW w:w="19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9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72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Incentive Stock Option</w:t>
            </w:r>
          </w:p>
        </w:tc>
        <w:tc>
          <w:tcPr>
            <w:tcW w:w="0" w:type="dxa"/>
            <w:vAlign w:val="bottom"/>
          </w:tcPr>
          <w:p>
            <w:pPr>
              <w:spacing w:after="0"/>
              <w:rPr>
                <w:sz w:val="1"/>
                <w:szCs w:val="1"/>
                <w:color w:val="auto"/>
              </w:rPr>
            </w:pPr>
          </w:p>
        </w:tc>
      </w:tr>
      <w:tr>
        <w:trPr>
          <w:trHeight w:val="459"/>
        </w:trPr>
        <w:tc>
          <w:tcPr>
            <w:tcW w:w="4020" w:type="dxa"/>
            <w:vAlign w:val="bottom"/>
          </w:tcPr>
          <w:p>
            <w:pPr>
              <w:spacing w:after="0"/>
              <w:rPr>
                <w:sz w:val="24"/>
                <w:szCs w:val="24"/>
                <w:color w:val="auto"/>
              </w:rPr>
            </w:pPr>
          </w:p>
        </w:tc>
        <w:tc>
          <w:tcPr>
            <w:tcW w:w="72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Non-Qualified Stock Option</w:t>
            </w:r>
          </w:p>
        </w:tc>
        <w:tc>
          <w:tcPr>
            <w:tcW w:w="0" w:type="dxa"/>
            <w:vAlign w:val="bottom"/>
          </w:tcPr>
          <w:p>
            <w:pPr>
              <w:spacing w:after="0"/>
              <w:rPr>
                <w:sz w:val="1"/>
                <w:szCs w:val="1"/>
                <w:color w:val="auto"/>
              </w:rPr>
            </w:pPr>
          </w:p>
        </w:tc>
      </w:tr>
      <w:tr>
        <w:trPr>
          <w:trHeight w:val="48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2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[Ten (10) Year Anniversary of Grant Date]</w:t>
            </w:r>
          </w:p>
        </w:tc>
        <w:tc>
          <w:tcPr>
            <w:tcW w:w="0" w:type="dxa"/>
            <w:vAlign w:val="bottom"/>
          </w:tcPr>
          <w:p>
            <w:pPr>
              <w:spacing w:after="0"/>
              <w:rPr>
                <w:sz w:val="1"/>
                <w:szCs w:val="1"/>
                <w:color w:val="auto"/>
              </w:rPr>
            </w:pP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Post-Termination Exercise Period:</w:t>
            </w:r>
          </w:p>
        </w:tc>
        <w:tc>
          <w:tcPr>
            <w:tcW w:w="72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[Ninety (90) Days]</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Subject to the Grantee’s Continuous Service and other limitations set forth in this Notice, the Plan and the Option Agreement, the Option may be exercised, in whole or in part, in accordance with the following schedule (the “Vesting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any authorized leave of absence, the vesting of the Option as provided in this schedule shall be suspended after the leave of absence exceeds a period of [three (3) months]. Vesting of the Option shall resume upon the Grantee’s termination of the leave of absence and return to service to the Company or a Related Entity. The Vesting Schedule of the Option shall be extended by the length of the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Grantee have executed this Notice and agree that the Option is to be governed by the terms and conditions of this Notice, the Plan, and the Option Agreement.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Catalyst Biosciences, Inc.,</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GRANTEE ACKNOWLEDGES AND AGREES THAT THE SHARES SUBJECT TO THE OPTION SHALL VEST, IF AT ALL, ONLY DURING THE PERIOD OF THE GRANTEE’S CONTINUOUS SERVICE (NOT THROUGH THE ACT OF BEING HIRED, BEING GRANTED THE OPTION OR ACQUIRING SHARES HEREUNDER). THE GRANTEE FURTHER ACKNOWLEDGES AND AGREES THAT NOTHING IN THIS NOTICE, THE OPTION AGREEMENT, OR THE PLAN SHALL CONFER UPON THE GRANTEE ANY RIGHT WITH RESPECT TO FUTURE AWARDS OR CONTINUATION OF THE GRANTEE’S CONTINUOUS SERVICE, NOR SHALL IT INTERFERE IN ANY WAY WITH THE GRANTEE’S RIGHT OR THE RIGHT OF THE COMPANY OR RELATED ENTITY TO WHICH THE GRANTEE PROVIDES SERVICES TO TERMINATE THE GRANTEE’S CONTINUOUS SERVICE, WITH OR WITHOUT CAUSE, AND WITH OR WITHOUT NOTICE. THE GRANTEE ACKNOWLEDGES THAT UNLESS THE GRANTEE HAS A WRITTEN EMPLOYMENT AGREEMENT WITH THE COMPANY TO THE CONTRARY, THE GRANTEE’S STATUS IS AT WILL.</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By clicking “Accept” on the button below, the Grantee acknowledges receipt of a copy of the Plan and the Option Agreement, and represents that he or she is familiar with the terms and provisions thereof, and hereby accepts the Option subject to all of the terms and provisions hereof and thereof. The Grantee has reviewed this Notice, the Plan, and the Option Agreement in their entirety, has had an opportunity to obtain the advice of counsel prior to executing this Notice, and fully understands all provisions of this Notice, the Plan and the Option Agreement. The Grantee hereby agrees that all questions of interpretation and administration relating to this Notice, the Plan and the Option Agreement shall be resolved by the Administrator in accordance with Section 13 of the Option Agreement. The Grantee further agrees to the venue selection in accordance with Section 12 of the Option Agreement. The Grantee further agrees to notify the Company upon any change in the residence address indicated in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CATALYST BIOSCIENCES INC. 2018 OMNIBUS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AWARD AGREEMENT</w:t>
      </w:r>
    </w:p>
    <w:p>
      <w:pPr>
        <w:spacing w:after="0" w:line="229" w:lineRule="exact"/>
        <w:rPr>
          <w:sz w:val="20"/>
          <w:szCs w:val="20"/>
          <w:color w:val="auto"/>
        </w:rPr>
      </w:pPr>
    </w:p>
    <w:p>
      <w:pPr>
        <w:ind w:right="40" w:firstLine="8"/>
        <w:spacing w:after="0" w:line="256" w:lineRule="auto"/>
        <w:tabs>
          <w:tab w:leader="none" w:pos="78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Catalyst Biosciences, Inc., a Delaware corporation (the “Company”), hereby grants to the Grantee (the “Grantee”) named in the Notice of Stock Option Award (the “Notice”), an option (the “Option”) to purchase the Total Number of Shares of Common Stock subject to the Option (the “Shares”) set forth in the Notice, at the Exercise Price per Share set forth in the Notice (the “Exercise Price”) subject to the terms and provisions of the Notice, this Stock Option Award Agreement (the “Option Agreement”) and the Company’s 2018 Omnibus Incentive Plan, as amended from time to time (the “Plan”), which are incorporated herein by reference. Unless otherwise defined herein, the terms defined in the Plan shall have the same defined meanings in this Option Agreement.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designated in the Notice as an Incentive Stock Option, the Option is intended to qualify as an Incentive Stock Option as defined in Section 422 of the Code. However, notwithstanding such designation, the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the Grantee during any calendar year (under all plans of the Company or any Parent or Subsidiary of the Company). For purposes of this calculation, Incentive Stock Options shall be taken into account in the order in which they were granted, and the Fair Market Value of the shares subject to such options shall be determined as of the grant date of the relevant option.</w:t>
      </w:r>
    </w:p>
    <w:p>
      <w:pPr>
        <w:spacing w:after="0" w:line="189" w:lineRule="exact"/>
        <w:rPr>
          <w:sz w:val="20"/>
          <w:szCs w:val="20"/>
          <w:color w:val="auto"/>
        </w:rPr>
      </w:pPr>
    </w:p>
    <w:p>
      <w:pPr>
        <w:ind w:left="800" w:hanging="792"/>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8"/>
        <w:spacing w:after="0" w:line="266" w:lineRule="auto"/>
        <w:tabs>
          <w:tab w:leader="none" w:pos="8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The Option shall be exercisable during its term in accordance with the Vesting Schedule set out in the Notice and with the applicable provisions of the Plan and this Option Agreement. The Grantee shall be subject to reasonable limitations on the number of requested exercises during any monthly or weekly period as determined by the Administrator. In no event shall the Company issue fractional Shares.</w:t>
      </w:r>
    </w:p>
    <w:p>
      <w:pPr>
        <w:spacing w:after="0" w:line="175" w:lineRule="exact"/>
        <w:rPr>
          <w:rFonts w:ascii="Times New Roman" w:cs="Times New Roman" w:eastAsia="Times New Roman" w:hAnsi="Times New Roman"/>
          <w:sz w:val="18"/>
          <w:szCs w:val="18"/>
          <w:color w:val="auto"/>
        </w:rPr>
      </w:pPr>
    </w:p>
    <w:p>
      <w:pPr>
        <w:ind w:right="120" w:firstLine="8"/>
        <w:spacing w:after="0" w:line="256" w:lineRule="auto"/>
        <w:tabs>
          <w:tab w:leader="none" w:pos="8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Option shall be exercisable by delivery of an exercise notice (a form of which is attached as Exhibit A) or by such other procedure as specified from time to time by the Administrator which shall state the election to exercise the Option, the whole number of Shares in respect of which the Option is being exercised, and such other provisions as may be required by the Administrator. The exercise notice shall be delivered in person, by certified mail, or by such other method (including electronic transmission) as determined from time to time by the Administrator to the Company accompanied by payment of the Exercise Price. As a condition to the exercise of the Option, the Grantee must also make arrangements with the Company for payment of any tax withholding obligations.</w:t>
      </w:r>
    </w:p>
    <w:p>
      <w:pPr>
        <w:spacing w:after="0" w:line="187" w:lineRule="exact"/>
        <w:rPr>
          <w:rFonts w:ascii="Times New Roman" w:cs="Times New Roman" w:eastAsia="Times New Roman" w:hAnsi="Times New Roman"/>
          <w:sz w:val="18"/>
          <w:szCs w:val="18"/>
          <w:color w:val="auto"/>
        </w:rPr>
      </w:pPr>
    </w:p>
    <w:p>
      <w:pPr>
        <w:ind w:firstLine="8"/>
        <w:spacing w:after="0" w:line="258" w:lineRule="auto"/>
        <w:tabs>
          <w:tab w:leader="none" w:pos="8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or any Related Entity shall be entitled, if necessary or desirable, to deduct and withhold (or, in the sole discretion of the Company, secure payment from the Grantee in lieu of withholding) the amount of any tax withholding due with respect to this Option. In the [Company’s] [Grantee’s] sole discretion, such tax withholding may be accomplished by the withholding of Shares which would otherwise be issued upon Option exercise to the Grantee in an amount whose Fair Market Value equal to the amount required to be withheld (provided the amount withheld does not exceed the maximum statutory tax rate for an employee in the applicable jurisdictions or such lesser amount as is necessary to avoid adverse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5" w:name="page116"/>
    <w:bookmarkEnd w:id="115"/>
    <w:p>
      <w:pPr>
        <w:ind w:left="-8" w:right="320" w:firstLine="8"/>
        <w:spacing w:after="0" w:line="289" w:lineRule="auto"/>
        <w:tabs>
          <w:tab w:leader="none" w:pos="7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Payment</w:t>
      </w:r>
      <w:r>
        <w:rPr>
          <w:rFonts w:ascii="Times New Roman" w:cs="Times New Roman" w:eastAsia="Times New Roman" w:hAnsi="Times New Roman"/>
          <w:sz w:val="17"/>
          <w:szCs w:val="17"/>
          <w:color w:val="auto"/>
        </w:rPr>
        <w:t>. Payment of the Exercise Price shall be made by any of the following, or a combination thereof, at the election of the Grantee; provided, however, that such exercise method does not then violate any Applicable Law and, provided further, that the portion of the Exercise Price equal to the par value of the Shares must be paid in cash or other legal consideration permitted by the Delaware General Corporation Law:</w:t>
      </w:r>
    </w:p>
    <w:p>
      <w:pPr>
        <w:spacing w:after="0" w:line="158" w:lineRule="exact"/>
        <w:rPr>
          <w:sz w:val="20"/>
          <w:szCs w:val="20"/>
          <w:color w:val="auto"/>
        </w:rPr>
      </w:pPr>
    </w:p>
    <w:p>
      <w:pPr>
        <w:ind w:left="852" w:hanging="852"/>
        <w:spacing w:after="0"/>
        <w:tabs>
          <w:tab w:leader="none" w:pos="8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852" w:hanging="852"/>
        <w:spacing w:after="0"/>
        <w:tabs>
          <w:tab w:leader="none" w:pos="8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jc w:val="both"/>
        <w:ind w:left="-8" w:right="20" w:firstLine="8"/>
        <w:spacing w:after="0" w:line="266" w:lineRule="auto"/>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held for the requisite period, if any, necessary to avoid a charge to the Company’s earnings for financial reporting purposes, or delivery of a properly executed form of attestation of ownership of Shares as the Administrator may require which have a Fair Market Value on the date of surrender or attestation equal to the aggregate Exercise Price of the Shares as to which the Option is being exercised;</w:t>
      </w:r>
    </w:p>
    <w:p>
      <w:pPr>
        <w:spacing w:after="0" w:line="175" w:lineRule="exact"/>
        <w:rPr>
          <w:rFonts w:ascii="Times New Roman" w:cs="Times New Roman" w:eastAsia="Times New Roman" w:hAnsi="Times New Roman"/>
          <w:sz w:val="18"/>
          <w:szCs w:val="18"/>
          <w:color w:val="auto"/>
        </w:rPr>
      </w:pPr>
    </w:p>
    <w:p>
      <w:pPr>
        <w:ind w:left="-8" w:firstLine="8"/>
        <w:spacing w:after="0" w:line="261" w:lineRule="auto"/>
        <w:tabs>
          <w:tab w:leader="none" w:pos="8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179" w:lineRule="exact"/>
        <w:rPr>
          <w:rFonts w:ascii="Times New Roman" w:cs="Times New Roman" w:eastAsia="Times New Roman" w:hAnsi="Times New Roman"/>
          <w:sz w:val="18"/>
          <w:szCs w:val="18"/>
          <w:color w:val="auto"/>
        </w:rPr>
      </w:pPr>
    </w:p>
    <w:p>
      <w:pPr>
        <w:ind w:left="-8" w:right="120" w:firstLine="8"/>
        <w:spacing w:after="0" w:line="258" w:lineRule="auto"/>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Common Stock is listed on a national stock exchange or a national market system, 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183" w:lineRule="exact"/>
        <w:rPr>
          <w:sz w:val="20"/>
          <w:szCs w:val="20"/>
          <w:color w:val="auto"/>
        </w:rPr>
      </w:pPr>
    </w:p>
    <w:p>
      <w:pPr>
        <w:ind w:left="-8" w:right="40" w:firstLine="8"/>
        <w:spacing w:after="0" w:line="261" w:lineRule="auto"/>
        <w:tabs>
          <w:tab w:leader="none" w:pos="7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The Option may not be exercised if the issuance of the Shares subject to the Option upon such exercise would constitute a violation of any Applicable Laws. If the exercise of the Option within the applicable time periods set forth in Section 5, 6 and 7 of this Option Agreement is prevented by the provisions of this Section 4, the Option shall remain exercisable until one (1) month after the date the Grantee is notified by the Company that the Option is exercisable, but in any event no later than the Expiration Date set forth in the Notice.</w:t>
      </w:r>
    </w:p>
    <w:p>
      <w:pPr>
        <w:spacing w:after="0" w:line="179" w:lineRule="exact"/>
        <w:rPr>
          <w:rFonts w:ascii="Times New Roman" w:cs="Times New Roman" w:eastAsia="Times New Roman" w:hAnsi="Times New Roman"/>
          <w:sz w:val="18"/>
          <w:szCs w:val="18"/>
          <w:color w:val="auto"/>
        </w:rPr>
      </w:pPr>
    </w:p>
    <w:p>
      <w:pPr>
        <w:ind w:left="-8" w:right="60" w:firstLine="8"/>
        <w:spacing w:after="0" w:line="253" w:lineRule="auto"/>
        <w:tabs>
          <w:tab w:leader="none" w:pos="7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Change of Continuous Service</w:t>
      </w:r>
      <w:r>
        <w:rPr>
          <w:rFonts w:ascii="Times New Roman" w:cs="Times New Roman" w:eastAsia="Times New Roman" w:hAnsi="Times New Roman"/>
          <w:sz w:val="18"/>
          <w:szCs w:val="18"/>
          <w:color w:val="auto"/>
        </w:rPr>
        <w:t>. In the event the Grantee’s Continuous Service terminates, the Grantee may, but only during the Post-Termination Exercise Period, exercise the portion of the Option that was vested at the date of such termination (the “Termination Date”). The Post-Termination Exercise Period shall commence on the Termination Date. In no event, however, shall the Option be exercised later than the Expiration Date set forth in the Notice. [In the event of the Grantee’s change in status from Employee, Director or Consultant to any other status of Employee, Director or Consultant, the Option shall remain in effect and the Option shall continue to vest in accordance with the Vesting Schedule set forth in the Notice; provided, however, that with respect to any Incentive Stock Option that shall remain in effect after a change in status from Employee to Director or Consultant, such Incentive Stock Option shall cease to be treated as an Incentive Stock Option and shall be treated as a Non-Qualified Stock Option on the day three (3) months and one (1) day following such change in status.] Except as provided in Sections 6 and 7 below, to the extent that the Option was unvested on the Termination Date, or if the Grantee does not exercise the vested portion of the Option within the Post-Termination Exercise Period, the Option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525145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116" w:name="page117"/>
    <w:bookmarkEnd w:id="116"/>
    <w:p>
      <w:pPr>
        <w:ind w:right="100" w:firstLine="8"/>
        <w:spacing w:after="0" w:line="253" w:lineRule="auto"/>
        <w:tabs>
          <w:tab w:leader="none" w:pos="7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the Grantee’s Continuous Service terminates as a result of his or her Disability, the Grantee may, but only within twelve (12) months commencing on the Termination Date (but in no event later than the Expiration Date), exercise the portion of the Option that was vested on the Termination Date; provided, however, that if such Disability is not a “disability” as such term is defined in Section 22(e)(3) of the Code and the Option is an Incentive Stock Option, such Incentive Stock Option shall cease to be treated as an Incentive Stock Option and shall be treated as a Non-Qualified Stock Option on the day three (3) months and one (1) day following the Termination Date. To the extent that the Option was unvested on the Termination Date, or if the Grantee does not exercise the vested portion of the Option within the time specified herein, the Option shall</w:t>
      </w:r>
    </w:p>
    <w:p>
      <w:pPr>
        <w:spacing w:after="0" w:line="5"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Section 22(e)(3) of the Code provides that an individual is permanently and totally disabled if he or she is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185" w:lineRule="exact"/>
        <w:rPr>
          <w:rFonts w:ascii="Times New Roman" w:cs="Times New Roman" w:eastAsia="Times New Roman" w:hAnsi="Times New Roman"/>
          <w:sz w:val="18"/>
          <w:szCs w:val="18"/>
          <w:color w:val="auto"/>
        </w:rPr>
      </w:pPr>
    </w:p>
    <w:p>
      <w:pPr>
        <w:ind w:right="20" w:firstLine="8"/>
        <w:spacing w:after="0" w:line="258" w:lineRule="auto"/>
        <w:tabs>
          <w:tab w:leader="none" w:pos="7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In the event of the termination of the Grantee’s Continuous Service as a result of his or her death, or in the event of the Grantee’s death during the Post-Termination Exercise Period, the person who acquired the right to exercise the Option pursuant to Section 8 may exercise the portion of the Option that was vested at the date of termination within twelve (12) months commencing on the date of death (but in no event later than the Expiration Date). To the extent that the Option was unvested on the date of death, or if the vested portion of the Option is not exercised within the time specified herein, the Option shall terminate.</w:t>
      </w:r>
    </w:p>
    <w:p>
      <w:pPr>
        <w:spacing w:after="0" w:line="183" w:lineRule="exact"/>
        <w:rPr>
          <w:rFonts w:ascii="Times New Roman" w:cs="Times New Roman" w:eastAsia="Times New Roman" w:hAnsi="Times New Roman"/>
          <w:sz w:val="18"/>
          <w:szCs w:val="18"/>
          <w:color w:val="auto"/>
        </w:rPr>
      </w:pPr>
    </w:p>
    <w:p>
      <w:pPr>
        <w:ind w:firstLine="8"/>
        <w:spacing w:after="0" w:line="253" w:lineRule="auto"/>
        <w:tabs>
          <w:tab w:leader="none" w:pos="7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Option</w:t>
      </w:r>
      <w:r>
        <w:rPr>
          <w:rFonts w:ascii="Times New Roman" w:cs="Times New Roman" w:eastAsia="Times New Roman" w:hAnsi="Times New Roman"/>
          <w:sz w:val="18"/>
          <w:szCs w:val="18"/>
          <w:color w:val="auto"/>
        </w:rPr>
        <w:t>. The Option, if an Incentive Stock Option, may not be transferred in any manner other than by will or by the laws of descent and distribution and may be exercised during the lifetime of the Grantee only by the Grantee. The Option, if a Non-Qualified Stock Option, may not be transferred in any manner other than by will or by the laws of descent and distribution, provided, however, that a Non-Qualified Stock Option may be transferred during the lifetime of the Grantee to the extent and in the manner authorized by the Administrator. Notwithstanding the foregoing, the Grantee may designate one or more beneficiaries of the Grantee’s Incentive Stock Option or Non-Qualified Stock Option in the event of the Grantee’s death on a beneficiary designation form provided by the Administrator. Following the death of the Grantee, the Option, to the extent provided in Section 7, may be exercised (a) by the person or persons designated under the deceased Grantee’s beneficiary 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spacing w:after="0" w:line="194" w:lineRule="exact"/>
        <w:rPr>
          <w:rFonts w:ascii="Times New Roman" w:cs="Times New Roman" w:eastAsia="Times New Roman" w:hAnsi="Times New Roman"/>
          <w:sz w:val="18"/>
          <w:szCs w:val="18"/>
          <w:color w:val="auto"/>
        </w:rPr>
      </w:pPr>
    </w:p>
    <w:p>
      <w:pPr>
        <w:ind w:right="640" w:firstLine="8"/>
        <w:spacing w:after="0" w:line="282" w:lineRule="auto"/>
        <w:tabs>
          <w:tab w:leader="none" w:pos="7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Option must be exercised no later than the Expiration Date set forth in the Notice or such earlier date as otherwise provided herein. After the Expiration Date or such earlier date, the Option shall be of no further force or effect and may not be exercised.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8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Grantee may incur tax liability as a result of the Grantee’s purchase or disposition of the Shares. THE GRANTEE SHOULD CONSULT A TAX ADVISER BEFORE EXERCISING THE OPTION OR DISPOSING OF THE SHARES.</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8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Notice, the Plan and this Option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and this Option Agreement (except as expressly provided therein)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515620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7" w:name="page118"/>
    <w:bookmarkEnd w:id="117"/>
    <w:p>
      <w:pPr>
        <w:spacing w:after="0" w:line="258" w:lineRule="auto"/>
        <w:rPr>
          <w:sz w:val="20"/>
          <w:szCs w:val="20"/>
          <w:color w:val="auto"/>
        </w:rPr>
      </w:pPr>
      <w:r>
        <w:rPr>
          <w:rFonts w:ascii="Times New Roman" w:cs="Times New Roman" w:eastAsia="Times New Roman" w:hAnsi="Times New Roman"/>
          <w:sz w:val="18"/>
          <w:szCs w:val="18"/>
          <w:color w:val="auto"/>
        </w:rPr>
        <w:t>intended to confer any rights or remedies on any persons other than the parties. The Notice, the Plan and this Option Agreement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Notice, the Plan or this Option Agreement be determined to be illegal or unenforceable, such provision shall be enforced to the fullest extent allowed by law and the other provisions shall nevertheless remain effective and shall remain enforceable.</w:t>
      </w:r>
    </w:p>
    <w:p>
      <w:pPr>
        <w:spacing w:after="0" w:line="183" w:lineRule="exact"/>
        <w:rPr>
          <w:sz w:val="20"/>
          <w:szCs w:val="20"/>
          <w:color w:val="auto"/>
        </w:rPr>
      </w:pPr>
    </w:p>
    <w:p>
      <w:pPr>
        <w:ind w:right="20" w:firstLine="8"/>
        <w:spacing w:after="0" w:line="256" w:lineRule="auto"/>
        <w:tabs>
          <w:tab w:leader="none" w:pos="8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Jurisdiction</w:t>
      </w:r>
      <w:r>
        <w:rPr>
          <w:rFonts w:ascii="Times New Roman" w:cs="Times New Roman" w:eastAsia="Times New Roman" w:hAnsi="Times New Roman"/>
          <w:sz w:val="18"/>
          <w:szCs w:val="18"/>
          <w:color w:val="auto"/>
        </w:rPr>
        <w:t>. The parties agree that any suit, action, or proceeding arising out of or relating to the Notice, the Plan or this Option Agreement shall be brought exclusively in the United States District Court for Delaware (or should such court lack jurisdiction to hear such action, suit or proceeding, in a Delaware state court)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12 shall for any reason be held invalid or unenforceable, it is the specific intent of the parties that such provisions shall be modified to the minimum extent necessary to make it or its application valid and enforceable.</w:t>
      </w:r>
    </w:p>
    <w:p>
      <w:pPr>
        <w:spacing w:after="0" w:line="187" w:lineRule="exact"/>
        <w:rPr>
          <w:rFonts w:ascii="Times New Roman" w:cs="Times New Roman" w:eastAsia="Times New Roman" w:hAnsi="Times New Roman"/>
          <w:sz w:val="18"/>
          <w:szCs w:val="18"/>
          <w:color w:val="auto"/>
        </w:rPr>
      </w:pPr>
    </w:p>
    <w:p>
      <w:pPr>
        <w:ind w:right="100" w:firstLine="8"/>
        <w:spacing w:after="0" w:line="266" w:lineRule="auto"/>
        <w:tabs>
          <w:tab w:leader="none" w:pos="8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the Notice and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ind w:right="60" w:firstLine="8"/>
        <w:spacing w:after="0" w:line="266" w:lineRule="auto"/>
        <w:tabs>
          <w:tab w:leader="none" w:pos="8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Any question or dispute regarding the administration or interpretation of the Notice, the Plan or this Option Agreement shall be submitted by the Grantee or by the Company to the Administrator. The resolution of such question or dispute by the Administrator shall be final and binding on all persons.</w:t>
      </w:r>
    </w:p>
    <w:p>
      <w:pPr>
        <w:spacing w:after="0" w:line="175" w:lineRule="exact"/>
        <w:rPr>
          <w:rFonts w:ascii="Times New Roman" w:cs="Times New Roman" w:eastAsia="Times New Roman" w:hAnsi="Times New Roman"/>
          <w:sz w:val="18"/>
          <w:szCs w:val="18"/>
          <w:color w:val="auto"/>
        </w:rPr>
      </w:pPr>
    </w:p>
    <w:p>
      <w:pPr>
        <w:jc w:val="both"/>
        <w:ind w:right="220" w:firstLine="8"/>
        <w:spacing w:after="0" w:line="261" w:lineRule="auto"/>
        <w:tabs>
          <w:tab w:leader="none" w:pos="8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END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CATALYST BIOSCIENCES INC. 2018 OMNIBUS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EXERCISE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07" w:lineRule="exact"/>
        <w:rPr>
          <w:sz w:val="20"/>
          <w:szCs w:val="20"/>
          <w:color w:val="auto"/>
        </w:rPr>
      </w:pPr>
    </w:p>
    <w:p>
      <w:pPr>
        <w:ind w:firstLine="8"/>
        <w:spacing w:after="0" w:line="258"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 [DATE], the undersigned (the “Grantee”) hereby elects to exercise the Grantee’s option to purchase shares of the Common Stock (the “Shares”) of Catalyst Biosciences, Inc. (the “Company”) under and pursuant to the Company’s 2018 Omnibus Incentive Plan, as amended from time to time (the “Plan”) and the Stock Option Award Agreement (the “Option Agreement”) and Notice of Stock Option Award (the “Notice”) dated [ ], 20[ ] and this Exercise Notice (the “Exercise Notice”). Unless otherwise defined herein, the terms defined in the Plan shall have the same defined meanings in this Exercise Notice.</w:t>
      </w:r>
    </w:p>
    <w:p>
      <w:pPr>
        <w:spacing w:after="0" w:line="183" w:lineRule="exact"/>
        <w:rPr>
          <w:rFonts w:ascii="Times New Roman" w:cs="Times New Roman" w:eastAsia="Times New Roman" w:hAnsi="Times New Roman"/>
          <w:sz w:val="18"/>
          <w:szCs w:val="18"/>
          <w:color w:val="auto"/>
        </w:rPr>
      </w:pPr>
    </w:p>
    <w:p>
      <w:pPr>
        <w:ind w:right="400" w:firstLine="8"/>
        <w:spacing w:after="0" w:line="282"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Grantee</w:t>
      </w:r>
      <w:r>
        <w:rPr>
          <w:rFonts w:ascii="Times New Roman" w:cs="Times New Roman" w:eastAsia="Times New Roman" w:hAnsi="Times New Roman"/>
          <w:sz w:val="18"/>
          <w:szCs w:val="18"/>
          <w:color w:val="auto"/>
        </w:rPr>
        <w:t>. The Grantee acknowledges that the Grantee has received, read and understood the Notice,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60" w:firstLine="8"/>
        <w:spacing w:after="0" w:line="258"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10 of the Plan.</w:t>
      </w:r>
    </w:p>
    <w:p>
      <w:pPr>
        <w:spacing w:after="0" w:line="183" w:lineRule="exact"/>
        <w:rPr>
          <w:rFonts w:ascii="Times New Roman" w:cs="Times New Roman" w:eastAsia="Times New Roman" w:hAnsi="Times New Roman"/>
          <w:sz w:val="18"/>
          <w:szCs w:val="18"/>
          <w:color w:val="auto"/>
        </w:rPr>
      </w:pPr>
    </w:p>
    <w:p>
      <w:pPr>
        <w:ind w:right="180" w:firstLine="8"/>
        <w:spacing w:after="0" w:line="266"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The Grantee herewith delivers to the Company the full Exercise Price for the Shares, which, to the extent selected, shall be deemed to be satisfied by use of the broker-dealer sale and remittance procedure to pay the Exercise Price provided in Section 3(e) of the Option Agreement.</w:t>
      </w:r>
    </w:p>
    <w:p>
      <w:pPr>
        <w:spacing w:after="0" w:line="175" w:lineRule="exact"/>
        <w:rPr>
          <w:rFonts w:ascii="Times New Roman" w:cs="Times New Roman" w:eastAsia="Times New Roman" w:hAnsi="Times New Roman"/>
          <w:sz w:val="18"/>
          <w:szCs w:val="18"/>
          <w:color w:val="auto"/>
        </w:rPr>
      </w:pPr>
    </w:p>
    <w:p>
      <w:pPr>
        <w:ind w:right="140" w:firstLine="8"/>
        <w:spacing w:after="0" w:line="266"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175" w:lineRule="exact"/>
        <w:rPr>
          <w:rFonts w:ascii="Times New Roman" w:cs="Times New Roman" w:eastAsia="Times New Roman" w:hAnsi="Times New Roman"/>
          <w:sz w:val="18"/>
          <w:szCs w:val="18"/>
          <w:color w:val="auto"/>
        </w:rPr>
      </w:pPr>
    </w:p>
    <w:p>
      <w:pPr>
        <w:ind w:right="80" w:firstLine="8"/>
        <w:spacing w:after="0" w:line="258"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agrees to satisfy all applicable foreign, federal, state and local income and employment tax withholding obligations and herewith delivers to the Company the full amount of such obligations or has made arrangements acceptable to the Company to satisfy such obligations. In the case of an Incentive Stock Option, the Grantee also agrees, as partial consideration for the designation of the Option as an Incentive Stock Option, to notify the Company in writing within thirty (30) days of any disposition of any shares acquired by exercise of the Option if such disposition occurs within two (2) years from the Grant Date or within one (1) year from the date the Shares were transferred to the Grantee.</w:t>
      </w:r>
    </w:p>
    <w:p>
      <w:pPr>
        <w:spacing w:after="0" w:line="183" w:lineRule="exact"/>
        <w:rPr>
          <w:rFonts w:ascii="Times New Roman" w:cs="Times New Roman" w:eastAsia="Times New Roman" w:hAnsi="Times New Roman"/>
          <w:sz w:val="18"/>
          <w:szCs w:val="18"/>
          <w:color w:val="auto"/>
        </w:rPr>
      </w:pPr>
    </w:p>
    <w:p>
      <w:pPr>
        <w:ind w:right="60" w:firstLine="8"/>
        <w:spacing w:after="0" w:line="282" w:lineRule="auto"/>
        <w:tabs>
          <w:tab w:leader="none" w:pos="7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 Exercise Notice shall inure to the benefit of the successors and assigns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This Exercise Notice shall be binding upon the Grantee and his or her heirs, executors, administrators, successors and assigns.</w:t>
      </w:r>
    </w:p>
    <w:p>
      <w:pPr>
        <w:spacing w:after="0" w:line="225" w:lineRule="exact"/>
        <w:rPr>
          <w:sz w:val="20"/>
          <w:szCs w:val="20"/>
          <w:color w:val="auto"/>
        </w:rPr>
      </w:pPr>
    </w:p>
    <w:p>
      <w:pPr>
        <w:ind w:right="160" w:firstLine="8"/>
        <w:spacing w:after="0" w:line="266" w:lineRule="auto"/>
        <w:tabs>
          <w:tab w:leader="none" w:pos="7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this Exercise Notice are inserted for convenience and shall not be deemed a part of this Exercise Notice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ind w:firstLine="8"/>
        <w:spacing w:after="0" w:line="266" w:lineRule="auto"/>
        <w:tabs>
          <w:tab w:leader="none" w:pos="78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The Grantee hereby agrees that any question or dispute regarding the administration or interpretation of this Exercise Notice shall be submitted by the Grantee or by the Company to the Administrator. The resolution of such question or dispute by the Administrator shall be final and binding on all persons.</w:t>
      </w:r>
    </w:p>
    <w:p>
      <w:pPr>
        <w:spacing w:after="0" w:line="175" w:lineRule="exact"/>
        <w:rPr>
          <w:rFonts w:ascii="Times New Roman" w:cs="Times New Roman" w:eastAsia="Times New Roman" w:hAnsi="Times New Roman"/>
          <w:sz w:val="18"/>
          <w:szCs w:val="18"/>
          <w:color w:val="auto"/>
        </w:rPr>
      </w:pPr>
    </w:p>
    <w:p>
      <w:pPr>
        <w:ind w:right="140" w:firstLine="8"/>
        <w:spacing w:after="0" w:line="258"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183" w:lineRule="exact"/>
        <w:rPr>
          <w:rFonts w:ascii="Times New Roman" w:cs="Times New Roman" w:eastAsia="Times New Roman" w:hAnsi="Times New Roman"/>
          <w:sz w:val="18"/>
          <w:szCs w:val="18"/>
          <w:color w:val="auto"/>
        </w:rPr>
      </w:pPr>
    </w:p>
    <w:p>
      <w:pPr>
        <w:jc w:val="both"/>
        <w:ind w:right="220" w:firstLine="8"/>
        <w:spacing w:after="0" w:line="261" w:lineRule="auto"/>
        <w:tabs>
          <w:tab w:leader="none" w:pos="8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spacing w:after="0" w:line="179" w:lineRule="exact"/>
        <w:rPr>
          <w:rFonts w:ascii="Times New Roman" w:cs="Times New Roman" w:eastAsia="Times New Roman" w:hAnsi="Times New Roman"/>
          <w:sz w:val="18"/>
          <w:szCs w:val="18"/>
          <w:color w:val="auto"/>
        </w:rPr>
      </w:pPr>
    </w:p>
    <w:p>
      <w:pPr>
        <w:ind w:right="240" w:firstLine="8"/>
        <w:spacing w:after="0" w:line="282"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Instruments</w:t>
      </w:r>
      <w:r>
        <w:rPr>
          <w:rFonts w:ascii="Times New Roman" w:cs="Times New Roman" w:eastAsia="Times New Roman" w:hAnsi="Times New Roman"/>
          <w:sz w:val="18"/>
          <w:szCs w:val="18"/>
          <w:color w:val="auto"/>
        </w:rPr>
        <w:t>. The parties agree to execute such further instruments and to take such further action as may be reasonably necessary to carry out the purposes and intent of this agreement.</w:t>
      </w:r>
    </w:p>
    <w:p>
      <w:pPr>
        <w:spacing w:after="0" w:line="161" w:lineRule="exact"/>
        <w:rPr>
          <w:rFonts w:ascii="Times New Roman" w:cs="Times New Roman" w:eastAsia="Times New Roman" w:hAnsi="Times New Roman"/>
          <w:sz w:val="18"/>
          <w:szCs w:val="18"/>
          <w:color w:val="auto"/>
        </w:rPr>
      </w:pPr>
    </w:p>
    <w:p>
      <w:pPr>
        <w:ind w:right="20" w:firstLine="8"/>
        <w:spacing w:after="0" w:line="258"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Notice, the Plan and the Option Agreement are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the Option Agreement and this Exercise Notice (except as expressly provided therein) is intended to confer any rights or remedies on any persons other than the parties.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Accepted by:</w:t>
            </w:r>
          </w:p>
        </w:tc>
        <w:tc>
          <w:tcPr>
            <w:tcW w:w="0" w:type="dxa"/>
            <w:vAlign w:val="bottom"/>
          </w:tcPr>
          <w:p>
            <w:pPr>
              <w:spacing w:after="0"/>
              <w:rPr>
                <w:sz w:val="1"/>
                <w:szCs w:val="1"/>
                <w:color w:val="auto"/>
              </w:rPr>
            </w:pPr>
          </w:p>
        </w:tc>
      </w:tr>
      <w:tr>
        <w:trPr>
          <w:trHeight w:val="45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Catalyst Biosciences, Inc.</w:t>
            </w:r>
          </w:p>
        </w:tc>
        <w:tc>
          <w:tcPr>
            <w:tcW w:w="0" w:type="dxa"/>
            <w:vAlign w:val="bottom"/>
          </w:tcPr>
          <w:p>
            <w:pPr>
              <w:spacing w:after="0"/>
              <w:rPr>
                <w:sz w:val="1"/>
                <w:szCs w:val="1"/>
                <w:color w:val="auto"/>
              </w:rPr>
            </w:pPr>
          </w:p>
        </w:tc>
      </w:tr>
      <w:tr>
        <w:trPr>
          <w:trHeight w:val="459"/>
        </w:trPr>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12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480"/>
        </w:trPr>
        <w:tc>
          <w:tcPr>
            <w:tcW w:w="60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ADDRESS]</w:t>
            </w:r>
          </w:p>
        </w:tc>
        <w:tc>
          <w:tcPr>
            <w:tcW w:w="0" w:type="dxa"/>
            <w:vAlign w:val="bottom"/>
          </w:tcPr>
          <w:p>
            <w:pPr>
              <w:spacing w:after="0"/>
              <w:rPr>
                <w:sz w:val="1"/>
                <w:szCs w:val="1"/>
                <w:color w:val="auto"/>
              </w:rPr>
            </w:pPr>
          </w:p>
        </w:tc>
      </w:tr>
      <w:tr>
        <w:trPr>
          <w:trHeight w:val="27"/>
        </w:trPr>
        <w:tc>
          <w:tcPr>
            <w:tcW w:w="6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Catalyst Biosciences, Inc. on Form S-8 (Nos. 333-133881, 333-133882, 333-160331, 333-185888, 333-189143, 333-206523, 333-206526, 333-212345, 333-219301, 333-225902, and 333-239712), and Form S-3 (Nos. 333-228970 and 333-253874) of our report dated March 31, 2022, on our audits of the financial statements as of December 31, 2021 and 2020, and for each of the years then ended, which report is included in this Annual Report on Form 10-K to be filed on or about March 31, 2022.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EisnerAmper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ectPr>
          <w:pgSz w:w="11900" w:h="16838" w:orient="portrait"/>
          <w:cols w:equalWidth="0" w:num="1">
            <w:col w:w="11240"/>
          </w:cols>
          <w:pgMar w:left="320" w:top="34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Nassim Usman, certify that:</w:t>
      </w:r>
    </w:p>
    <w:p>
      <w:pPr>
        <w:spacing w:after="0" w:line="117" w:lineRule="exact"/>
        <w:rPr>
          <w:sz w:val="20"/>
          <w:szCs w:val="20"/>
          <w:color w:val="auto"/>
        </w:rPr>
      </w:pPr>
    </w:p>
    <w:p>
      <w:pPr>
        <w:ind w:left="1160" w:hanging="572"/>
        <w:spacing w:after="0"/>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Catalyst Biosciences, Inc.;</w:t>
      </w:r>
    </w:p>
    <w:p>
      <w:pPr>
        <w:spacing w:after="0" w:line="117" w:lineRule="exact"/>
        <w:rPr>
          <w:rFonts w:ascii="Times New Roman" w:cs="Times New Roman" w:eastAsia="Times New Roman" w:hAnsi="Times New Roman"/>
          <w:sz w:val="18"/>
          <w:szCs w:val="18"/>
          <w:color w:val="auto"/>
        </w:rPr>
      </w:pPr>
    </w:p>
    <w:p>
      <w:pPr>
        <w:ind w:left="1160" w:right="80" w:hanging="572"/>
        <w:spacing w:after="0" w:line="266" w:lineRule="auto"/>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60" w:right="360" w:hanging="572"/>
        <w:spacing w:after="0" w:line="312" w:lineRule="auto"/>
        <w:tabs>
          <w:tab w:leader="none" w:pos="11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60" w:right="240" w:hanging="572"/>
        <w:spacing w:after="0" w:line="276" w:lineRule="auto"/>
        <w:tabs>
          <w:tab w:leader="none" w:pos="11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1760" w:hanging="578"/>
        <w:spacing w:after="0" w:line="266" w:lineRule="auto"/>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60" w:right="400" w:hanging="578"/>
        <w:spacing w:after="0" w:line="266" w:lineRule="auto"/>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60" w:right="40" w:hanging="578"/>
        <w:spacing w:after="0" w:line="266" w:lineRule="auto"/>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60" w:right="140" w:hanging="578"/>
        <w:spacing w:after="0" w:line="266" w:lineRule="auto"/>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60" w:right="280" w:hanging="572"/>
        <w:spacing w:after="0" w:line="266" w:lineRule="auto"/>
        <w:tabs>
          <w:tab w:leader="none" w:pos="1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760" w:right="100" w:hanging="578"/>
        <w:spacing w:after="0" w:line="312" w:lineRule="auto"/>
        <w:tabs>
          <w:tab w:leader="none" w:pos="176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760" w:right="280" w:hanging="578"/>
        <w:spacing w:after="0" w:line="282" w:lineRule="auto"/>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2022</w:t>
      </w:r>
    </w:p>
    <w:p>
      <w:pPr>
        <w:spacing w:after="0" w:line="225"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/s/ Nassim Usman,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 w:lineRule="exact"/>
        <w:rPr>
          <w:sz w:val="20"/>
          <w:szCs w:val="20"/>
          <w:color w:val="auto"/>
        </w:rPr>
      </w:pPr>
    </w:p>
    <w:p>
      <w:pPr>
        <w:jc w:val="center"/>
        <w:ind w:right="6760"/>
        <w:spacing w:after="0"/>
        <w:rPr>
          <w:sz w:val="20"/>
          <w:szCs w:val="20"/>
          <w:color w:val="auto"/>
        </w:rPr>
      </w:pPr>
      <w:r>
        <w:rPr>
          <w:rFonts w:ascii="Times New Roman" w:cs="Times New Roman" w:eastAsia="Times New Roman" w:hAnsi="Times New Roman"/>
          <w:sz w:val="14"/>
          <w:szCs w:val="14"/>
          <w:b w:val="1"/>
          <w:bCs w:val="1"/>
          <w:color w:val="auto"/>
        </w:rPr>
        <w:t>Nassim Usman, Ph.D.</w:t>
      </w:r>
    </w:p>
    <w:p>
      <w:pPr>
        <w:jc w:val="center"/>
        <w:ind w:right="67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40"/>
          </w:cols>
          <w:pgMar w:left="320" w:top="33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Seline Miller, certify that:</w:t>
      </w:r>
    </w:p>
    <w:p>
      <w:pPr>
        <w:spacing w:after="0" w:line="117" w:lineRule="exact"/>
        <w:rPr>
          <w:sz w:val="20"/>
          <w:szCs w:val="20"/>
          <w:color w:val="auto"/>
        </w:rPr>
      </w:pPr>
    </w:p>
    <w:p>
      <w:pPr>
        <w:ind w:left="1160" w:hanging="572"/>
        <w:spacing w:after="0"/>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Catalyst Biosciences, Inc.;</w:t>
      </w:r>
    </w:p>
    <w:p>
      <w:pPr>
        <w:spacing w:after="0" w:line="117" w:lineRule="exact"/>
        <w:rPr>
          <w:rFonts w:ascii="Times New Roman" w:cs="Times New Roman" w:eastAsia="Times New Roman" w:hAnsi="Times New Roman"/>
          <w:sz w:val="18"/>
          <w:szCs w:val="18"/>
          <w:color w:val="auto"/>
        </w:rPr>
      </w:pPr>
    </w:p>
    <w:p>
      <w:pPr>
        <w:ind w:left="1160" w:right="80" w:hanging="572"/>
        <w:spacing w:after="0" w:line="266" w:lineRule="auto"/>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60" w:right="360" w:hanging="572"/>
        <w:spacing w:after="0" w:line="312" w:lineRule="auto"/>
        <w:tabs>
          <w:tab w:leader="none" w:pos="11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60" w:right="240" w:hanging="572"/>
        <w:spacing w:after="0" w:line="276" w:lineRule="auto"/>
        <w:tabs>
          <w:tab w:leader="none" w:pos="11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1760" w:hanging="578"/>
        <w:spacing w:after="0" w:line="266" w:lineRule="auto"/>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760" w:right="400" w:hanging="578"/>
        <w:spacing w:after="0" w:line="266" w:lineRule="auto"/>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760" w:right="40" w:hanging="578"/>
        <w:spacing w:after="0" w:line="266" w:lineRule="auto"/>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760" w:right="140" w:hanging="578"/>
        <w:spacing w:after="0" w:line="266" w:lineRule="auto"/>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60" w:right="280" w:hanging="572"/>
        <w:spacing w:after="0" w:line="266" w:lineRule="auto"/>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760" w:right="100" w:hanging="578"/>
        <w:spacing w:after="0" w:line="312" w:lineRule="auto"/>
        <w:tabs>
          <w:tab w:leader="none" w:pos="17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760" w:right="280" w:hanging="578"/>
        <w:spacing w:after="0" w:line="282" w:lineRule="auto"/>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2022</w:t>
      </w:r>
    </w:p>
    <w:p>
      <w:pPr>
        <w:spacing w:after="0" w:line="225"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18"/>
          <w:szCs w:val="18"/>
          <w:color w:val="auto"/>
        </w:rPr>
        <w:t>/s/ Seline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Seline Miller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Interim Chief Financial Officer (Interim Financial and Principal</w:t>
      </w:r>
    </w:p>
    <w:p>
      <w:pPr>
        <w:ind w:left="1640"/>
        <w:spacing w:after="0"/>
        <w:rPr>
          <w:sz w:val="20"/>
          <w:szCs w:val="20"/>
          <w:color w:val="auto"/>
        </w:rPr>
      </w:pPr>
      <w:r>
        <w:rPr>
          <w:rFonts w:ascii="Times New Roman" w:cs="Times New Roman" w:eastAsia="Times New Roman" w:hAnsi="Times New Roman"/>
          <w:sz w:val="14"/>
          <w:szCs w:val="14"/>
          <w:b w:val="1"/>
          <w:bCs w:val="1"/>
          <w:color w:val="auto"/>
        </w:rPr>
        <w:t>Accounting Officer)</w:t>
      </w:r>
    </w:p>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Catalyst Biosciences, Inc. (the “Company”) for the year ended December 31, 2021, as filed with the Securities and Exchange Commission on the date hereof (the “Report”), I, Nassim Usman,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31, 2022</w:t>
      </w:r>
    </w:p>
    <w:p>
      <w:pPr>
        <w:spacing w:after="0" w:line="1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Nassim Usman,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Nassim Usman, Ph.D.</w:t>
      </w:r>
    </w:p>
    <w:p>
      <w:pPr>
        <w:spacing w:after="0" w:line="6"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ectPr>
          <w:pgSz w:w="11900" w:h="16838" w:orient="portrait"/>
          <w:cols w:equalWidth="0" w:num="1">
            <w:col w:w="11240"/>
          </w:cols>
          <w:pgMar w:left="320" w:top="56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Catalyst Biosciences, Inc. (the “Company”) for the year ended December 31, 2021, as filed with the Securities and Exchange Commission on the date hereof (the “Report”), I, Seline Miller, Interim Chief Financial Officer (Interim Financial and Principal Accounting Officer) of the Company, certify, pursuant to 18 U.S.C. § 1350, as adopted pursuant to §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31, 2022</w:t>
      </w:r>
    </w:p>
    <w:p>
      <w:pPr>
        <w:spacing w:after="0" w:line="12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 Seline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Seline Miller</w:t>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Interim Chief Financial Officer (Interim Financial and Principal</w:t>
      </w:r>
    </w:p>
    <w:p>
      <w:pPr>
        <w:ind w:left="8380"/>
        <w:spacing w:after="0"/>
        <w:rPr>
          <w:sz w:val="20"/>
          <w:szCs w:val="20"/>
          <w:color w:val="auto"/>
        </w:rPr>
      </w:pPr>
      <w:r>
        <w:rPr>
          <w:rFonts w:ascii="Times New Roman" w:cs="Times New Roman" w:eastAsia="Times New Roman" w:hAnsi="Times New Roman"/>
          <w:sz w:val="14"/>
          <w:szCs w:val="14"/>
          <w:b w:val="1"/>
          <w:bCs w:val="1"/>
          <w:color w:val="auto"/>
        </w:rPr>
        <w:t>Accounting Officer)</w:t>
      </w:r>
    </w:p>
    <w:sectPr>
      <w:pgSz w:w="11900" w:h="16838" w:orient="portrait"/>
      <w:cols w:equalWidth="0" w:num="1">
        <w:col w:w="11240"/>
      </w:cols>
      <w:pgMar w:left="320" w:top="5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o"/>
      <w:numFmt w:val="bullet"/>
      <w:start w:val="1"/>
    </w:lvl>
  </w:abstractNum>
  <w:abstractNum w:abstractNumId="5">
    <w:nsid w:val="5E884ADC"/>
    <w:multiLevelType w:val="hybridMultilevel"/>
    <w:lvl w:ilvl="0">
      <w:lvlJc w:val="left"/>
      <w:lvlText w:val="o"/>
      <w:numFmt w:val="bullet"/>
      <w:start w:val="1"/>
    </w:lvl>
  </w:abstractNum>
  <w:abstractNum w:abstractNumId="6">
    <w:nsid w:val="51EAD36B"/>
    <w:multiLevelType w:val="hybridMultilevel"/>
    <w:lvl w:ilvl="0">
      <w:lvlJc w:val="left"/>
      <w:lvlText w:val="o"/>
      <w:numFmt w:val="bullet"/>
      <w:start w:val="1"/>
    </w:lvl>
  </w:abstractNum>
  <w:abstractNum w:abstractNumId="7">
    <w:nsid w:val="2D517796"/>
    <w:multiLevelType w:val="hybridMultilevel"/>
    <w:lvl w:ilvl="0">
      <w:lvlJc w:val="left"/>
      <w:lvlText w:val="o"/>
      <w:numFmt w:val="bullet"/>
      <w:start w:val="1"/>
    </w:lvl>
  </w:abstractNum>
  <w:abstractNum w:abstractNumId="8">
    <w:nsid w:val="580BD78F"/>
    <w:multiLevelType w:val="hybridMultilevel"/>
    <w:lvl w:ilvl="0">
      <w:lvlJc w:val="left"/>
      <w:lvlText w:val="o"/>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lvl w:ilvl="1">
      <w:lvlJc w:val="left"/>
      <w:lvlText w:val="•"/>
      <w:numFmt w:val="bullet"/>
      <w:start w:val="1"/>
    </w:lvl>
  </w:abstractNum>
  <w:abstractNum w:abstractNumId="13">
    <w:nsid w:val="2A487CB0"/>
    <w:multiLevelType w:val="hybridMultilevel"/>
    <w:lvl w:ilvl="0">
      <w:lvlJc w:val="left"/>
      <w:lvlText w:val="•"/>
      <w:numFmt w:val="bullet"/>
      <w:start w:val="1"/>
    </w:lvl>
    <w:lvl w:ilvl="1">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4"/>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5"/>
    </w:lvl>
  </w:abstractNum>
  <w:abstractNum w:abstractNumId="39">
    <w:nsid w:val="275AC794"/>
    <w:multiLevelType w:val="hybridMultilevel"/>
    <w:lvl w:ilvl="0">
      <w:lvlJc w:val="left"/>
      <w:lvlText w:val="%1."/>
      <w:numFmt w:val="decimal"/>
      <w:start w:val="6"/>
    </w:lvl>
  </w:abstractNum>
  <w:abstractNum w:abstractNumId="40">
    <w:nsid w:val="39386575"/>
    <w:multiLevelType w:val="hybridMultilevel"/>
    <w:lvl w:ilvl="0">
      <w:lvlJc w:val="left"/>
      <w:lvlText w:val="%1."/>
      <w:numFmt w:val="decimal"/>
      <w:start w:val="7"/>
    </w:lvl>
  </w:abstractNum>
  <w:abstractNum w:abstractNumId="41">
    <w:nsid w:val="1CF10FD8"/>
    <w:multiLevelType w:val="hybridMultilevel"/>
    <w:lvl w:ilvl="0">
      <w:lvlJc w:val="left"/>
      <w:lvlText w:val="%1."/>
      <w:numFmt w:val="decimal"/>
      <w:start w:val="8"/>
    </w:lvl>
  </w:abstractNum>
  <w:abstractNum w:abstractNumId="42">
    <w:nsid w:val="180115BE"/>
    <w:multiLevelType w:val="hybridMultilevel"/>
    <w:lvl w:ilvl="0">
      <w:lvlJc w:val="left"/>
      <w:lvlText w:val="%1."/>
      <w:numFmt w:val="decimal"/>
      <w:start w:val="10"/>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11"/>
    </w:lvl>
  </w:abstractNum>
  <w:abstractNum w:abstractNumId="45">
    <w:nsid w:val="354FE9F9"/>
    <w:multiLevelType w:val="hybridMultilevel"/>
    <w:lvl w:ilvl="0">
      <w:lvlJc w:val="left"/>
      <w:lvlText w:val="%1."/>
      <w:numFmt w:val="decimal"/>
      <w:start w:val="12"/>
    </w:lvl>
  </w:abstractNum>
  <w:abstractNum w:abstractNumId="46">
    <w:nsid w:val="15B5AF5C"/>
    <w:multiLevelType w:val="hybridMultilevel"/>
    <w:lvl w:ilvl="0">
      <w:lvlJc w:val="left"/>
      <w:lvlText w:val="%1."/>
      <w:numFmt w:val="decimal"/>
      <w:start w:val="13"/>
    </w:lvl>
  </w:abstractNum>
  <w:abstractNum w:abstractNumId="47">
    <w:nsid w:val="741226BB"/>
    <w:multiLevelType w:val="hybridMultilevel"/>
    <w:lvl w:ilvl="0">
      <w:lvlJc w:val="left"/>
      <w:lvlText w:val="%1."/>
      <w:numFmt w:val="decimal"/>
      <w:start w:val="14"/>
    </w:lvl>
  </w:abstractNum>
  <w:abstractNum w:abstractNumId="48">
    <w:nsid w:val="D34B6A8"/>
    <w:multiLevelType w:val="hybridMultilevel"/>
    <w:lvl w:ilvl="0">
      <w:lvlJc w:val="left"/>
      <w:lvlText w:val="%1."/>
      <w:numFmt w:val="decimal"/>
      <w:start w:val="15"/>
    </w:lvl>
  </w:abstractNum>
  <w:abstractNum w:abstractNumId="49">
    <w:nsid w:val="10233C99"/>
    <w:multiLevelType w:val="hybridMultilevel"/>
    <w:lvl w:ilvl="0">
      <w:lvlJc w:val="left"/>
      <w:lvlText w:val="%1."/>
      <w:numFmt w:val="decimal"/>
      <w:start w:val="16"/>
    </w:lvl>
  </w:abstractNum>
  <w:abstractNum w:abstractNumId="50">
    <w:nsid w:val="3F6AB60F"/>
    <w:multiLevelType w:val="hybridMultilevel"/>
    <w:lvl w:ilvl="0">
      <w:lvlJc w:val="left"/>
      <w:lvlText w:val="%1."/>
      <w:numFmt w:val="decimal"/>
      <w:start w:val="17"/>
    </w:lvl>
  </w:abstractNum>
  <w:abstractNum w:abstractNumId="51">
    <w:nsid w:val="61574095"/>
    <w:multiLevelType w:val="hybridMultilevel"/>
    <w:lvl w:ilvl="0">
      <w:lvlJc w:val="left"/>
      <w:lvlText w:val="%1"/>
      <w:numFmt w:val="lowerLetter"/>
      <w:start w:val="1"/>
    </w:lvl>
    <w:lvl w:ilvl="1">
      <w:lvlJc w:val="left"/>
      <w:lvlText w:val="%2."/>
      <w:numFmt w:val="decimal"/>
      <w:start w:val="3"/>
    </w:lvl>
  </w:abstractNum>
  <w:abstractNum w:abstractNumId="52">
    <w:nsid w:val="7E0C57B1"/>
    <w:multiLevelType w:val="hybridMultilevel"/>
    <w:lvl w:ilvl="0">
      <w:lvlJc w:val="left"/>
      <w:lvlText w:val="(%1)"/>
      <w:numFmt w:val="lowerLetter"/>
      <w:start w:val="2"/>
    </w:lvl>
    <w:lvl w:ilvl="1">
      <w:lvlJc w:val="left"/>
      <w:lvlText w:val="%2"/>
      <w:numFmt w:val="decimal"/>
      <w:start w:val="1"/>
    </w:lvl>
  </w:abstractNum>
  <w:abstractNum w:abstractNumId="53">
    <w:nsid w:val="77AE35EB"/>
    <w:multiLevelType w:val="hybridMultilevel"/>
    <w:lvl w:ilvl="0">
      <w:lvlJc w:val="left"/>
      <w:lvlText w:val="(%1)"/>
      <w:numFmt w:val="lowerRoman"/>
      <w:start w:val="5"/>
    </w:lvl>
  </w:abstractNum>
  <w:abstractNum w:abstractNumId="54">
    <w:nsid w:val="579BE4F1"/>
    <w:multiLevelType w:val="hybridMultilevel"/>
    <w:lvl w:ilvl="0">
      <w:lvlJc w:val="left"/>
      <w:lvlText w:val="%1"/>
      <w:numFmt w:val="decimal"/>
      <w:start w:val="104"/>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2"/>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decimal"/>
      <w:start w:val="3"/>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decimal"/>
      <w:start w:val="4"/>
    </w:lvl>
  </w:abstractNum>
  <w:abstractNum w:abstractNumId="64">
    <w:nsid w:val="100F8FCA"/>
    <w:multiLevelType w:val="hybridMultilevel"/>
    <w:lvl w:ilvl="0">
      <w:lvlJc w:val="left"/>
      <w:lvlText w:val="%1."/>
      <w:numFmt w:val="decimal"/>
      <w:start w:val="6"/>
    </w:lvl>
  </w:abstractNum>
  <w:abstractNum w:abstractNumId="65">
    <w:nsid w:val="6590700B"/>
    <w:multiLevelType w:val="hybridMultilevel"/>
    <w:lvl w:ilvl="0">
      <w:lvlJc w:val="left"/>
      <w:lvlText w:val="%1."/>
      <w:numFmt w:val="decimal"/>
      <w:start w:val="12"/>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8"/>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32" Type="http://schemas.openxmlformats.org/officeDocument/2006/relationships/hyperlink" Target="http://www.sec.gov/Archives/edgar/data/1124105/000119312515079787/d887299dex21.htm" TargetMode="External"/><Relationship Id="rId133" Type="http://schemas.openxmlformats.org/officeDocument/2006/relationships/hyperlink" Target="http://www.sec.gov/Archives/edgar/data/1124105/000119312515183156/d924437dex101.htm" TargetMode="External"/><Relationship Id="rId134" Type="http://schemas.openxmlformats.org/officeDocument/2006/relationships/hyperlink" Target="http://www.sec.gov/Archives/edgar/data/1124105/000119312515186989/d925981dex101.htm" TargetMode="External"/><Relationship Id="rId135" Type="http://schemas.openxmlformats.org/officeDocument/2006/relationships/hyperlink" Target="http://www.sec.gov/Archives/edgar/data/1124105/000119312506103288/dex41.htm" TargetMode="External"/><Relationship Id="rId136" Type="http://schemas.openxmlformats.org/officeDocument/2006/relationships/hyperlink" Target="http://www.sec.gov/Archives/edgar/data/1124105/000119312515297752/d24322dex31.htm" TargetMode="External"/><Relationship Id="rId137" Type="http://schemas.openxmlformats.org/officeDocument/2006/relationships/hyperlink" Target="http://www.sec.gov/Archives/edgar/data/1124105/000119312517037156/d326649dex31.htm" TargetMode="External"/><Relationship Id="rId138" Type="http://schemas.openxmlformats.org/officeDocument/2006/relationships/hyperlink" Target="http://www.sec.gov/Archives/edgar/data/1124105/000119312515079787/d887299dex31.htm" TargetMode="External"/><Relationship Id="rId139" Type="http://schemas.openxmlformats.org/officeDocument/2006/relationships/hyperlink" Target="http://www.sec.gov/Archives/edgar/data/1124105/000119312517121994/d375894dex31.htm" TargetMode="External"/><Relationship Id="rId140" Type="http://schemas.openxmlformats.org/officeDocument/2006/relationships/hyperlink" Target="http://www.sec.gov/Archives/edgar/data/1124105/000156459020005546/cbio-ex41_709.htm" TargetMode="External"/><Relationship Id="rId141" Type="http://schemas.openxmlformats.org/officeDocument/2006/relationships/hyperlink" Target="http://www.sec.gov/Archives/edgar/data/0001124105/000119312516498295/d117011dex43.htm" TargetMode="External"/><Relationship Id="rId142" Type="http://schemas.openxmlformats.org/officeDocument/2006/relationships/hyperlink" Target="http://www.sec.gov/Archives/edgar/data/0001124105/000119312516498295/d117011dex45.htm" TargetMode="External"/><Relationship Id="rId143" Type="http://schemas.openxmlformats.org/officeDocument/2006/relationships/hyperlink" Target="http://www.sec.gov/Archives/edgar/data/1124105/000119312516554394/d165946ddef14a.htm" TargetMode="External"/><Relationship Id="rId144" Type="http://schemas.openxmlformats.org/officeDocument/2006/relationships/hyperlink" Target="http://www.sec.gov/Archives/edgar/data/1124105/000119312516548415/d149784dex101.htm" TargetMode="External"/><Relationship Id="rId145" Type="http://schemas.openxmlformats.org/officeDocument/2006/relationships/hyperlink" Target="http://www.sec.gov/Archives/edgar/data/1124105/000119312515198706/d899628dex1031a.htm" TargetMode="External"/><Relationship Id="rId148" Type="http://schemas.openxmlformats.org/officeDocument/2006/relationships/hyperlink" Target="http://www.sec.gov/Archives/edgar/data/1124105/000156459017013442/cbio-ex101_24.htm" TargetMode="External"/><Relationship Id="rId149" Type="http://schemas.openxmlformats.org/officeDocument/2006/relationships/hyperlink" Target="http://www.sec.gov/Archives/edgar/data/1124105/000156459017013442/cbio-ex102_25.htm" TargetMode="External"/><Relationship Id="rId150" Type="http://schemas.openxmlformats.org/officeDocument/2006/relationships/hyperlink" Target="http://www.sec.gov/Archives/edgar/data/1124105/000156459020020531/cbio-def14a_20200611.htm" TargetMode="External"/><Relationship Id="rId151" Type="http://schemas.openxmlformats.org/officeDocument/2006/relationships/hyperlink" Target="http://www.sec.gov/Archives/edgar/data/1124105/000119312518160813/d581034ddef14a.htm#toc581034_35" TargetMode="External"/><Relationship Id="rId152" Type="http://schemas.openxmlformats.org/officeDocument/2006/relationships/hyperlink" Target="http://www.sec.gov/Archives/edgar/data/0001124105/000156459021041373/cbio-ex101_133.htm" TargetMode="External"/><Relationship Id="rId153" Type="http://schemas.openxmlformats.org/officeDocument/2006/relationships/hyperlink" Target="http://www.sec.gov/Archives/edgar/data/1124105/000119312518265035/d612321dex101.htm" TargetMode="External"/><Relationship Id="rId154" Type="http://schemas.openxmlformats.org/officeDocument/2006/relationships/hyperlink" Target="http://www.sec.gov/Archives/edgar/data/1124105/000119312518265035/d612321dex102.htm" TargetMode="External"/><Relationship Id="rId155" Type="http://schemas.openxmlformats.org/officeDocument/2006/relationships/hyperlink" Target="http://www.sec.gov/Archives/edgar/data/1124105/000156459019013422/cbio-ex1016b_9.htm" TargetMode="External"/><Relationship Id="rId156" Type="http://schemas.openxmlformats.org/officeDocument/2006/relationships/hyperlink" Target="http://www.sec.gov/Archives/edgar/data/1124105/000156459016022517/cbio-ex101_419.htm" TargetMode="External"/><Relationship Id="rId157" Type="http://schemas.openxmlformats.org/officeDocument/2006/relationships/hyperlink" Target="http://www.sec.gov/Archives/edgar/data/1124105/000156459017003722/cbio-ex1016_464.htm" TargetMode="External"/><Relationship Id="rId158" Type="http://schemas.openxmlformats.org/officeDocument/2006/relationships/hyperlink" Target="http://www.sec.gov/Archives/edgar/data/1124105/000119312517347025/d465134dex101.htm" TargetMode="External"/><Relationship Id="rId159" Type="http://schemas.openxmlformats.org/officeDocument/2006/relationships/hyperlink" Target="http://www.sec.gov/Archives/edgar/data/1124105/000119312518249889/d610054dex101.htm" TargetMode="External"/><Relationship Id="rId160" Type="http://schemas.openxmlformats.org/officeDocument/2006/relationships/hyperlink" Target="http://www.sec.gov/Archives/edgar/data/1124105/000119312519267593/d820794dex101.htm" TargetMode="External"/><Relationship Id="rId163" Type="http://schemas.openxmlformats.org/officeDocument/2006/relationships/hyperlink" Target="http://www.sec.gov/Archives/edgar/data/1124105/000156459020005546/cbio-ex1017_708.htm" TargetMode="External"/><Relationship Id="rId164" Type="http://schemas.openxmlformats.org/officeDocument/2006/relationships/hyperlink" Target="http://www.sec.gov/Archives/edgar/data/1124105/000156459020005546/cbio-ex1018_773.htm" TargetMode="External"/><Relationship Id="rId165" Type="http://schemas.openxmlformats.org/officeDocument/2006/relationships/hyperlink" Target="http://www.sec.gov/Archives/edgar/data/1124105/000119312520009556/d847025dex101.htm" TargetMode="External"/><Relationship Id="rId166" Type="http://schemas.openxmlformats.org/officeDocument/2006/relationships/hyperlink" Target="http://www.sec.gov/Archives/edgar/data/1124105/000156459020005546/cbio-ex1020_631.htm" TargetMode="External"/><Relationship Id="rId167" Type="http://schemas.openxmlformats.org/officeDocument/2006/relationships/hyperlink" Target="http://www.sec.gov/Archives/edgar/data/0001124105/000119312518265035/d612321dex103.htm" TargetMode="External"/><Relationship Id="rId168" Type="http://schemas.openxmlformats.org/officeDocument/2006/relationships/hyperlink" Target="http://www.sec.gov/Archives/edgar/data/1124105/000156459020037483/cbio-ex101_66.htm" TargetMode="External"/><Relationship Id="rId169" Type="http://schemas.openxmlformats.org/officeDocument/2006/relationships/hyperlink" Target="http://www.sec.gov/Archives/edgar/data/1124105/000156459020051083/cbio-ex101_33.htm" TargetMode="External"/><Relationship Id="rId170" Type="http://schemas.openxmlformats.org/officeDocument/2006/relationships/hyperlink" Target="http://www.sec.gov/Archives/edgar/data/1124105/000156459020051083/cbio-ex102_126.htm" TargetMode="External"/><Relationship Id="rId171" Type="http://schemas.openxmlformats.org/officeDocument/2006/relationships/hyperlink" Target="http://www.sec.gov/Archives/edgar/data/1124105/000119312516498295/d11701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2022-03-31T12:07:01Z</dcterms:created>
  <dcterms:modified xsi:type="dcterms:W3CDTF">2022-03-31T12:07:01Z</dcterms:modified>
</cp:coreProperties>
</file>