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ef20081105_s8.htm"/>
      <w:bookmarkStart w:id="1" w:name="ksef20081105_s8"/>
      <w:bookmarkEnd w:id="0"/>
      <w:bookmarkEnd w:id="1"/>
      <w:r>
        <w:rPr>
          <w:b/>
          <w:color w:val="000000"/>
        </w:rPr>
        <w:t>As filed with the Securities and Exchange Commission on August 27, 2026</w:t>
      </w:r>
      <w:r>
        <w:rPr/>
        <w:t xml:space="preserve"> </w:t>
      </w:r>
    </w:p>
    <w:p>
      <w:pPr>
        <w:pStyle w:val="TextBody"/>
        <w:bidi w:val="0"/>
        <w:spacing w:before="0" w:after="0"/>
        <w:jc w:val="right"/>
        <w:rPr/>
      </w:pPr>
      <w:r>
        <w:rPr>
          <w:b/>
          <w:color w:val="000000"/>
        </w:rPr>
        <w:t>Registration No. 333-</w:t>
      </w: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sz w:val="28"/>
        </w:rPr>
      </w:pPr>
      <w:r>
        <w:rPr>
          <w:b/>
          <w:color w:val="000000"/>
          <w:sz w:val="28"/>
        </w:rPr>
        <w:t>UNITED STATES</w:t>
      </w:r>
      <w:r>
        <w:rPr>
          <w:sz w:val="28"/>
        </w:rPr>
        <w:t xml:space="preserve"> </w:t>
      </w:r>
    </w:p>
    <w:p>
      <w:pPr>
        <w:pStyle w:val="TextBody"/>
        <w:bidi w:val="0"/>
        <w:spacing w:before="0" w:after="0"/>
        <w:jc w:val="center"/>
        <w:rPr>
          <w:sz w:val="28"/>
        </w:rPr>
      </w:pPr>
      <w:r>
        <w:rPr>
          <w:b/>
          <w:color w:val="000000"/>
          <w:sz w:val="28"/>
        </w:rPr>
        <w:t>SECURITIES AND EXCHANGE COMMISSION</w:t>
      </w:r>
      <w:r>
        <w:rPr>
          <w:sz w:val="28"/>
        </w:rPr>
        <w:t xml:space="preserve"> </w:t>
      </w:r>
    </w:p>
    <w:p>
      <w:pPr>
        <w:pStyle w:val="TextBody"/>
        <w:bidi w:val="0"/>
        <w:spacing w:before="0" w:after="0"/>
        <w:jc w:val="center"/>
        <w:rPr>
          <w:sz w:val="24"/>
        </w:rPr>
      </w:pPr>
      <w:r>
        <w:rPr>
          <w:b/>
          <w:color w:val="000000"/>
          <w:sz w:val="24"/>
        </w:rPr>
        <w:t>WASHINGTON, D.C. 20549</w:t>
      </w:r>
      <w:r>
        <w:rPr>
          <w:sz w:val="24"/>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sz w:val="36"/>
        </w:rPr>
      </w:pPr>
      <w:r>
        <w:rPr>
          <w:b/>
          <w:color w:val="000000"/>
          <w:sz w:val="36"/>
        </w:rPr>
        <w:t>FORM S-8</w:t>
      </w:r>
      <w:r>
        <w:rPr>
          <w:sz w:val="36"/>
        </w:rPr>
        <w:t xml:space="preserve"> </w:t>
      </w:r>
    </w:p>
    <w:p>
      <w:pPr>
        <w:pStyle w:val="TextBody"/>
        <w:bidi w:val="0"/>
        <w:spacing w:before="0" w:after="0"/>
        <w:jc w:val="center"/>
        <w:rPr/>
      </w:pPr>
      <w:r>
        <w:rPr>
          <w:b/>
          <w:color w:val="000000"/>
        </w:rPr>
        <w:t>REGISTRATION STATEMENT</w:t>
      </w:r>
      <w:r>
        <w:rPr/>
        <w:t xml:space="preserve"> </w:t>
      </w:r>
    </w:p>
    <w:p>
      <w:pPr>
        <w:pStyle w:val="TextBody"/>
        <w:bidi w:val="0"/>
        <w:spacing w:before="0" w:after="0"/>
        <w:jc w:val="center"/>
        <w:rPr/>
      </w:pPr>
      <w:r>
        <w:rPr>
          <w:b/>
          <w:i/>
          <w:color w:val="000000"/>
        </w:rPr>
        <w:t>UNDER</w:t>
      </w:r>
      <w:r>
        <w:rPr/>
        <w:t xml:space="preserve"> </w:t>
      </w:r>
    </w:p>
    <w:p>
      <w:pPr>
        <w:pStyle w:val="TextBody"/>
        <w:bidi w:val="0"/>
        <w:spacing w:before="0" w:after="0"/>
        <w:jc w:val="center"/>
        <w:rPr/>
      </w:pPr>
      <w:r>
        <w:rPr>
          <w:b/>
          <w:i/>
          <w:color w:val="000000"/>
        </w:rPr>
        <w:t>THE SECURITIES ACT OF 1933</w:t>
      </w: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sz w:val="48"/>
        </w:rPr>
      </w:pPr>
      <w:r>
        <w:rPr>
          <w:b/>
          <w:color w:val="000000"/>
          <w:sz w:val="48"/>
        </w:rPr>
        <w:t>Gyre Therapeutics, Inc.</w:t>
      </w:r>
      <w:r>
        <w:rPr>
          <w:sz w:val="48"/>
        </w:rPr>
        <w:t xml:space="preserve"> </w:t>
      </w:r>
    </w:p>
    <w:p>
      <w:pPr>
        <w:pStyle w:val="TextBody"/>
        <w:bidi w:val="0"/>
        <w:spacing w:before="0" w:after="0"/>
        <w:jc w:val="center"/>
        <w:rPr/>
      </w:pPr>
      <w:r>
        <w:rPr>
          <w:b/>
          <w:color w:val="000000"/>
        </w:rPr>
        <w:t>(Exact name of registrant as specified in its charter)</w:t>
      </w:r>
      <w:r>
        <w:rPr/>
        <w:t xml:space="preserve"> </w:t>
      </w:r>
    </w:p>
    <w:p>
      <w:pPr>
        <w:pStyle w:val="HorizontalLine"/>
        <w:pBdr>
          <w:bottom w:val="double" w:sz="2" w:space="0" w:color="808080"/>
        </w:pBdr>
        <w:bidi w:val="0"/>
        <w:spacing w:before="0" w:after="283"/>
        <w:jc w:val="left"/>
        <w:rPr/>
      </w:pPr>
      <w:r>
        <w:rPr/>
      </w:r>
    </w:p>
    <w:tbl>
      <w:tblPr>
        <w:tblW w:w="8773" w:type="dxa"/>
        <w:jc w:val="left"/>
        <w:tblInd w:w="0" w:type="dxa"/>
        <w:tblLayout w:type="fixed"/>
        <w:tblCellMar>
          <w:top w:w="28" w:type="dxa"/>
          <w:left w:w="28" w:type="dxa"/>
          <w:bottom w:w="28" w:type="dxa"/>
          <w:right w:w="28" w:type="dxa"/>
        </w:tblCellMar>
      </w:tblPr>
      <w:tblGrid>
        <w:gridCol w:w="5431"/>
        <w:gridCol w:w="146"/>
        <w:gridCol w:w="3196"/>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5431" w:type="dxa"/>
            <w:tcBorders/>
            <w:vAlign w:val="center"/>
          </w:tcPr>
          <w:p>
            <w:pPr>
              <w:pStyle w:val="TableContents"/>
              <w:bidi w:val="0"/>
              <w:spacing w:before="0" w:after="283"/>
              <w:jc w:val="center"/>
              <w:rPr>
                <w:b/>
                <w:spacing w:val="0"/>
                <w:sz w:val="20"/>
              </w:rPr>
            </w:pPr>
            <w:r>
              <w:rPr>
                <w:b/>
                <w:spacing w:val="0"/>
                <w:sz w:val="20"/>
              </w:rPr>
              <w:t>Delaware</w:t>
            </w:r>
          </w:p>
        </w:tc>
        <w:tc>
          <w:tcPr>
            <w:tcW w:w="146" w:type="dxa"/>
            <w:tcBorders/>
            <w:vAlign w:val="center"/>
          </w:tcPr>
          <w:p>
            <w:pPr>
              <w:pStyle w:val="TableContents"/>
              <w:bidi w:val="0"/>
              <w:spacing w:before="0" w:after="283"/>
              <w:jc w:val="center"/>
              <w:rPr/>
            </w:pPr>
            <w:r>
              <w:rPr/>
              <w:t> </w:t>
            </w:r>
          </w:p>
        </w:tc>
        <w:tc>
          <w:tcPr>
            <w:tcW w:w="3196" w:type="dxa"/>
            <w:tcBorders/>
            <w:vAlign w:val="center"/>
          </w:tcPr>
          <w:p>
            <w:pPr>
              <w:pStyle w:val="TableContents"/>
              <w:bidi w:val="0"/>
              <w:spacing w:before="0" w:after="283"/>
              <w:jc w:val="center"/>
              <w:rPr>
                <w:b/>
                <w:spacing w:val="0"/>
                <w:sz w:val="20"/>
              </w:rPr>
            </w:pPr>
            <w:r>
              <w:rPr>
                <w:b/>
                <w:spacing w:val="0"/>
                <w:sz w:val="20"/>
              </w:rPr>
              <w:t>56-2020050</w:t>
            </w:r>
          </w:p>
        </w:tc>
      </w:tr>
      <w:tr>
        <w:trPr/>
        <w:tc>
          <w:tcPr>
            <w:tcW w:w="5431" w:type="dxa"/>
            <w:tcBorders/>
            <w:tcMar>
              <w:top w:w="0" w:type="dxa"/>
              <w:left w:w="0" w:type="dxa"/>
              <w:bottom w:w="0" w:type="dxa"/>
              <w:right w:w="0" w:type="dxa"/>
            </w:tcMar>
            <w:vAlign w:val="center"/>
          </w:tcPr>
          <w:p>
            <w:pPr>
              <w:pStyle w:val="TableContents"/>
              <w:bidi w:val="0"/>
              <w:spacing w:before="0" w:after="283"/>
              <w:jc w:val="center"/>
              <w:rPr>
                <w:sz w:val="20"/>
              </w:rPr>
            </w:pPr>
            <w:r>
              <w:rPr>
                <w:b/>
                <w:sz w:val="20"/>
              </w:rPr>
              <w:t>(State or Other Jurisdiction of</w:t>
            </w:r>
            <w:r>
              <w:rPr>
                <w:sz w:val="20"/>
              </w:rPr>
              <w:t xml:space="preserve"> </w:t>
            </w:r>
            <w:r>
              <w:rPr>
                <w:b/>
                <w:sz w:val="20"/>
              </w:rPr>
              <w:t>Incorporation or Organization)</w:t>
            </w:r>
            <w:r>
              <w:rPr>
                <w:sz w:val="20"/>
              </w:rPr>
              <w:t xml:space="preserve"> </w:t>
            </w:r>
          </w:p>
        </w:tc>
        <w:tc>
          <w:tcPr>
            <w:tcW w:w="146" w:type="dxa"/>
            <w:tcBorders/>
            <w:vAlign w:val="center"/>
          </w:tcPr>
          <w:p>
            <w:pPr>
              <w:pStyle w:val="TableContents"/>
              <w:bidi w:val="0"/>
              <w:spacing w:before="0" w:after="283"/>
              <w:jc w:val="center"/>
              <w:rPr/>
            </w:pPr>
            <w:r>
              <w:rPr/>
              <w:t> </w:t>
            </w:r>
          </w:p>
        </w:tc>
        <w:tc>
          <w:tcPr>
            <w:tcW w:w="3196" w:type="dxa"/>
            <w:tcBorders/>
            <w:tcMar>
              <w:top w:w="0" w:type="dxa"/>
              <w:left w:w="0" w:type="dxa"/>
              <w:bottom w:w="0" w:type="dxa"/>
              <w:right w:w="0" w:type="dxa"/>
            </w:tcMar>
            <w:vAlign w:val="center"/>
          </w:tcPr>
          <w:p>
            <w:pPr>
              <w:pStyle w:val="TableContents"/>
              <w:bidi w:val="0"/>
              <w:spacing w:before="0" w:after="283"/>
              <w:jc w:val="center"/>
              <w:rPr/>
            </w:pPr>
            <w:r>
              <w:rPr>
                <w:sz w:val="20"/>
              </w:rPr>
              <w:t>(</w:t>
            </w:r>
            <w:r>
              <w:rPr>
                <w:b/>
                <w:sz w:val="20"/>
              </w:rPr>
              <w:t>I.R.S. Employer Identification No.)</w:t>
            </w:r>
            <w:r>
              <w:rPr/>
              <w:t xml:space="preserve"> </w:t>
            </w:r>
          </w:p>
        </w:tc>
      </w:tr>
    </w:tbl>
    <w:p>
      <w:pPr>
        <w:pStyle w:val="TextBody"/>
        <w:bidi w:val="0"/>
        <w:spacing w:before="0" w:after="0"/>
        <w:jc w:val="center"/>
        <w:rPr/>
      </w:pPr>
      <w:r>
        <w:rPr/>
        <w:t xml:space="preserve">  </w:t>
      </w:r>
    </w:p>
    <w:p>
      <w:pPr>
        <w:pStyle w:val="TextBody"/>
        <w:bidi w:val="0"/>
        <w:spacing w:before="0" w:after="0"/>
        <w:jc w:val="center"/>
        <w:rPr/>
      </w:pPr>
      <w:r>
        <w:rPr>
          <w:b/>
          <w:color w:val="000000"/>
        </w:rPr>
        <w:t>Gyre Therapeutics, Inc.</w:t>
      </w:r>
      <w:r>
        <w:rPr/>
        <w:t xml:space="preserve"> </w:t>
      </w:r>
    </w:p>
    <w:p>
      <w:pPr>
        <w:pStyle w:val="TextBody"/>
        <w:bidi w:val="0"/>
        <w:spacing w:before="0" w:after="0"/>
        <w:jc w:val="center"/>
        <w:rPr/>
      </w:pPr>
      <w:r>
        <w:rPr>
          <w:b/>
          <w:color w:val="000000"/>
        </w:rPr>
        <w:t>12730 High Bluff Drive, Suite 250</w:t>
      </w:r>
      <w:r>
        <w:rPr/>
        <w:t xml:space="preserve"> </w:t>
      </w:r>
    </w:p>
    <w:p>
      <w:pPr>
        <w:pStyle w:val="TextBody"/>
        <w:bidi w:val="0"/>
        <w:spacing w:before="0" w:after="0"/>
        <w:jc w:val="center"/>
        <w:rPr/>
      </w:pPr>
      <w:r>
        <w:rPr>
          <w:b/>
          <w:color w:val="000000"/>
        </w:rPr>
        <w:t>San Diego, California 92130</w:t>
      </w:r>
      <w:r>
        <w:rPr/>
        <w:t xml:space="preserve"> </w:t>
      </w:r>
    </w:p>
    <w:p>
      <w:pPr>
        <w:pStyle w:val="TextBody"/>
        <w:bidi w:val="0"/>
        <w:spacing w:before="0" w:after="0"/>
        <w:jc w:val="center"/>
        <w:rPr/>
      </w:pPr>
      <w:r>
        <w:rPr>
          <w:color w:val="000000"/>
        </w:rPr>
        <w:t>(Address, including zip code, of registrant’s principal executive offices)</w:t>
      </w:r>
      <w:r>
        <w:rPr/>
        <w:t xml:space="preserve"> </w:t>
      </w:r>
    </w:p>
    <w:p>
      <w:pPr>
        <w:pStyle w:val="TextBody"/>
        <w:bidi w:val="0"/>
        <w:spacing w:before="0" w:after="0"/>
        <w:jc w:val="center"/>
        <w:rPr/>
      </w:pPr>
      <w:r>
        <w:rPr/>
        <w:t xml:space="preserve">  </w:t>
      </w:r>
    </w:p>
    <w:p>
      <w:pPr>
        <w:pStyle w:val="TextBody"/>
        <w:bidi w:val="0"/>
        <w:spacing w:before="0" w:after="0"/>
        <w:jc w:val="center"/>
        <w:rPr/>
      </w:pPr>
      <w:r>
        <w:rPr>
          <w:b/>
          <w:color w:val="000000"/>
        </w:rPr>
        <w:t>Gyre Therapeutics, Inc. 2023 Omnibus Incentive Plan</w:t>
      </w:r>
      <w:r>
        <w:rPr/>
        <w:t xml:space="preserve"> </w:t>
      </w:r>
    </w:p>
    <w:p>
      <w:pPr>
        <w:pStyle w:val="TextBody"/>
        <w:bidi w:val="0"/>
        <w:spacing w:before="0" w:after="0"/>
        <w:jc w:val="center"/>
        <w:rPr/>
      </w:pPr>
      <w:r>
        <w:rPr>
          <w:color w:val="000000"/>
        </w:rPr>
        <w:t>(Full title of the plan)</w:t>
      </w:r>
      <w:r>
        <w:rPr/>
        <w:t xml:space="preserve"> </w:t>
      </w:r>
    </w:p>
    <w:p>
      <w:pPr>
        <w:pStyle w:val="TextBody"/>
        <w:bidi w:val="0"/>
        <w:spacing w:before="0" w:after="0"/>
        <w:jc w:val="center"/>
        <w:rPr/>
      </w:pPr>
      <w:r>
        <w:rPr/>
        <w:t xml:space="preserve">  </w:t>
      </w:r>
    </w:p>
    <w:p>
      <w:pPr>
        <w:pStyle w:val="TextBody"/>
        <w:bidi w:val="0"/>
        <w:spacing w:before="0" w:after="0"/>
        <w:jc w:val="center"/>
        <w:rPr/>
      </w:pPr>
      <w:r>
        <w:rPr>
          <w:b/>
          <w:color w:val="000000"/>
        </w:rPr>
        <w:t>Ying Luo, Ph.D.</w:t>
      </w:r>
      <w:r>
        <w:rPr/>
        <w:t xml:space="preserve"> </w:t>
      </w:r>
    </w:p>
    <w:p>
      <w:pPr>
        <w:pStyle w:val="TextBody"/>
        <w:bidi w:val="0"/>
        <w:spacing w:before="0" w:after="0"/>
        <w:jc w:val="center"/>
        <w:rPr/>
      </w:pPr>
      <w:r>
        <w:rPr>
          <w:b/>
          <w:color w:val="000000"/>
        </w:rPr>
        <w:t>President and Chief Executive Officer</w:t>
      </w:r>
      <w:r>
        <w:rPr/>
        <w:t xml:space="preserve"> </w:t>
      </w:r>
    </w:p>
    <w:p>
      <w:pPr>
        <w:pStyle w:val="TextBody"/>
        <w:bidi w:val="0"/>
        <w:spacing w:before="0" w:after="0"/>
        <w:jc w:val="center"/>
        <w:rPr/>
      </w:pPr>
      <w:r>
        <w:rPr>
          <w:b/>
          <w:color w:val="000000"/>
        </w:rPr>
        <w:t>Gyre Therapeutics, Inc.</w:t>
      </w:r>
      <w:r>
        <w:rPr/>
        <w:t xml:space="preserve"> </w:t>
      </w:r>
    </w:p>
    <w:p>
      <w:pPr>
        <w:pStyle w:val="TextBody"/>
        <w:bidi w:val="0"/>
        <w:spacing w:before="0" w:after="0"/>
        <w:jc w:val="center"/>
        <w:rPr/>
      </w:pPr>
      <w:r>
        <w:rPr>
          <w:b/>
          <w:color w:val="000000"/>
        </w:rPr>
        <w:t>12730 High Bluff Drive, Suite 250</w:t>
      </w:r>
      <w:r>
        <w:rPr/>
        <w:t xml:space="preserve"> </w:t>
      </w:r>
    </w:p>
    <w:p>
      <w:pPr>
        <w:pStyle w:val="TextBody"/>
        <w:bidi w:val="0"/>
        <w:spacing w:before="0" w:after="0"/>
        <w:jc w:val="center"/>
        <w:rPr/>
      </w:pPr>
      <w:r>
        <w:rPr>
          <w:b/>
          <w:color w:val="000000"/>
        </w:rPr>
        <w:t>San Diego, California 92130</w:t>
      </w:r>
      <w:r>
        <w:rPr/>
        <w:t xml:space="preserve"> </w:t>
      </w:r>
    </w:p>
    <w:p>
      <w:pPr>
        <w:pStyle w:val="TextBody"/>
        <w:bidi w:val="0"/>
        <w:spacing w:before="0" w:after="0"/>
        <w:jc w:val="center"/>
        <w:rPr/>
      </w:pPr>
      <w:r>
        <w:rPr>
          <w:b/>
          <w:color w:val="000000"/>
        </w:rPr>
        <w:t>(858) 284-0115</w:t>
      </w:r>
      <w:r>
        <w:rPr/>
        <w:t xml:space="preserve"> </w:t>
      </w:r>
    </w:p>
    <w:p>
      <w:pPr>
        <w:pStyle w:val="TextBody"/>
        <w:bidi w:val="0"/>
        <w:spacing w:before="0" w:after="0"/>
        <w:jc w:val="center"/>
        <w:rPr/>
      </w:pPr>
      <w:r>
        <w:rPr>
          <w:color w:val="000000"/>
        </w:rPr>
        <w:t>(Name, address and telephone number (including area code) of agent for service)</w:t>
      </w:r>
      <w:r>
        <w:rPr/>
        <w:t xml:space="preserve"> </w:t>
      </w:r>
    </w:p>
    <w:p>
      <w:pPr>
        <w:pStyle w:val="TextBody"/>
        <w:bidi w:val="0"/>
        <w:spacing w:before="0" w:after="0"/>
        <w:jc w:val="center"/>
        <w:rPr/>
      </w:pPr>
      <w:r>
        <w:rPr/>
        <w:t xml:space="preserve">  </w:t>
      </w:r>
    </w:p>
    <w:p>
      <w:pPr>
        <w:pStyle w:val="TextBody"/>
        <w:bidi w:val="0"/>
        <w:spacing w:before="0" w:after="0"/>
        <w:jc w:val="center"/>
        <w:rPr/>
      </w:pPr>
      <w:r>
        <w:rPr>
          <w:color w:val="000000"/>
        </w:rPr>
        <w:t>Copy to:</w:t>
      </w:r>
      <w:r>
        <w:rPr/>
        <w:t xml:space="preserve"> </w:t>
      </w:r>
    </w:p>
    <w:p>
      <w:pPr>
        <w:pStyle w:val="TextBody"/>
        <w:bidi w:val="0"/>
        <w:spacing w:before="0" w:after="0"/>
        <w:jc w:val="center"/>
        <w:rPr/>
      </w:pPr>
      <w:r>
        <w:rPr/>
        <w:t xml:space="preserve">  </w:t>
      </w:r>
    </w:p>
    <w:p>
      <w:pPr>
        <w:pStyle w:val="TextBody"/>
        <w:bidi w:val="0"/>
        <w:spacing w:before="0" w:after="0"/>
        <w:jc w:val="center"/>
        <w:rPr/>
      </w:pPr>
      <w:r>
        <w:rPr>
          <w:b/>
          <w:color w:val="000000"/>
        </w:rPr>
        <w:t>Sean Feller</w:t>
      </w:r>
      <w:r>
        <w:rPr/>
        <w:t xml:space="preserve"> </w:t>
      </w:r>
    </w:p>
    <w:p>
      <w:pPr>
        <w:pStyle w:val="TextBody"/>
        <w:bidi w:val="0"/>
        <w:spacing w:before="0" w:after="0"/>
        <w:jc w:val="center"/>
        <w:rPr/>
      </w:pPr>
      <w:r>
        <w:rPr>
          <w:b/>
          <w:color w:val="000000"/>
        </w:rPr>
        <w:t>Gibson, Dunn &amp; Crutcher LLP</w:t>
      </w:r>
      <w:r>
        <w:rPr/>
        <w:t xml:space="preserve"> </w:t>
      </w:r>
    </w:p>
    <w:p>
      <w:pPr>
        <w:pStyle w:val="TextBody"/>
        <w:bidi w:val="0"/>
        <w:spacing w:before="0" w:after="0"/>
        <w:jc w:val="center"/>
        <w:rPr/>
      </w:pPr>
      <w:r>
        <w:rPr>
          <w:b/>
          <w:color w:val="000000"/>
        </w:rPr>
        <w:t>2000 Avenue of the Stars, Suite 1200N</w:t>
      </w:r>
      <w:r>
        <w:rPr/>
        <w:t xml:space="preserve"> </w:t>
      </w:r>
    </w:p>
    <w:p>
      <w:pPr>
        <w:pStyle w:val="TextBody"/>
        <w:bidi w:val="0"/>
        <w:spacing w:before="0" w:after="0"/>
        <w:jc w:val="center"/>
        <w:rPr/>
      </w:pPr>
      <w:r>
        <w:rPr>
          <w:b/>
          <w:color w:val="000000"/>
        </w:rPr>
        <w:t>Los Angeles, CA 90067-4700</w:t>
      </w:r>
      <w:r>
        <w:rPr/>
        <w:t xml:space="preserve"> </w:t>
      </w:r>
    </w:p>
    <w:p>
      <w:pPr>
        <w:pStyle w:val="TextBody"/>
        <w:bidi w:val="0"/>
        <w:spacing w:before="0" w:after="0"/>
        <w:jc w:val="center"/>
        <w:rPr/>
      </w:pPr>
      <w:r>
        <w:rPr>
          <w:b/>
          <w:color w:val="000000"/>
        </w:rPr>
        <w:t>(310) 552-8500</w:t>
      </w: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left"/>
        <w:rPr/>
      </w:pPr>
      <w:r>
        <w:rPr>
          <w:color w:val="00000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4125"/>
        <w:gridCol w:w="828"/>
        <w:gridCol w:w="4452"/>
        <w:gridCol w:w="800"/>
      </w:tblGrid>
      <w:tr>
        <w:trPr/>
        <w:tc>
          <w:tcPr>
            <w:tcW w:w="4125"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4452"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r>
      <w:tr>
        <w:trPr/>
        <w:tc>
          <w:tcPr>
            <w:tcW w:w="4125" w:type="dxa"/>
            <w:tcBorders/>
            <w:tcMar>
              <w:top w:w="0" w:type="dxa"/>
              <w:left w:w="0" w:type="dxa"/>
              <w:bottom w:w="0" w:type="dxa"/>
              <w:right w:w="0" w:type="dxa"/>
            </w:tcMar>
            <w:vAlign w:val="center"/>
          </w:tcPr>
          <w:p>
            <w:pPr>
              <w:pStyle w:val="TableContents"/>
              <w:bidi w:val="0"/>
              <w:spacing w:before="0" w:after="0"/>
              <w:jc w:val="left"/>
              <w:rPr/>
            </w:pPr>
            <w:r>
              <w:rPr/>
              <w:t xml:space="preserve">Large accelerated filer </w:t>
            </w:r>
          </w:p>
        </w:tc>
        <w:tc>
          <w:tcPr>
            <w:tcW w:w="82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452" w:type="dxa"/>
            <w:tcBorders/>
            <w:tcMar>
              <w:top w:w="0" w:type="dxa"/>
              <w:left w:w="0" w:type="dxa"/>
              <w:bottom w:w="0" w:type="dxa"/>
              <w:right w:w="0" w:type="dxa"/>
            </w:tcMar>
            <w:vAlign w:val="center"/>
          </w:tcPr>
          <w:p>
            <w:pPr>
              <w:pStyle w:val="TableContents"/>
              <w:bidi w:val="0"/>
              <w:spacing w:before="0" w:after="0"/>
              <w:jc w:val="left"/>
              <w:rPr/>
            </w:pPr>
            <w:r>
              <w:rPr/>
              <w:t xml:space="preserve">Accelerated filer </w:t>
            </w:r>
          </w:p>
        </w:tc>
        <w:tc>
          <w:tcPr>
            <w:tcW w:w="800"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4125"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c>
          <w:tcPr>
            <w:tcW w:w="4452"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tcMar>
              <w:top w:w="0" w:type="dxa"/>
              <w:left w:w="0" w:type="dxa"/>
              <w:bottom w:w="0" w:type="dxa"/>
              <w:right w:w="0" w:type="dxa"/>
            </w:tcMar>
            <w:vAlign w:val="center"/>
          </w:tcPr>
          <w:p>
            <w:pPr>
              <w:pStyle w:val="TableContents"/>
              <w:bidi w:val="0"/>
              <w:spacing w:before="0" w:after="0"/>
              <w:jc w:val="left"/>
              <w:rPr/>
            </w:pPr>
            <w:r>
              <w:rPr/>
              <w:t xml:space="preserve">Non-accelerated filer </w:t>
            </w:r>
          </w:p>
        </w:tc>
        <w:tc>
          <w:tcPr>
            <w:tcW w:w="82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452" w:type="dxa"/>
            <w:tcBorders/>
            <w:tcMar>
              <w:top w:w="0" w:type="dxa"/>
              <w:left w:w="0" w:type="dxa"/>
              <w:bottom w:w="0" w:type="dxa"/>
              <w:right w:w="0" w:type="dxa"/>
            </w:tcMar>
            <w:vAlign w:val="center"/>
          </w:tcPr>
          <w:p>
            <w:pPr>
              <w:pStyle w:val="TableContents"/>
              <w:bidi w:val="0"/>
              <w:spacing w:before="0" w:after="0"/>
              <w:jc w:val="left"/>
              <w:rPr/>
            </w:pPr>
            <w:r>
              <w:rPr/>
              <w:t xml:space="preserve">Smaller reporting company </w:t>
            </w:r>
          </w:p>
        </w:tc>
        <w:tc>
          <w:tcPr>
            <w:tcW w:w="800"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4125"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c>
          <w:tcPr>
            <w:tcW w:w="4452"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c>
          <w:tcPr>
            <w:tcW w:w="4452" w:type="dxa"/>
            <w:tcBorders/>
            <w:tcMar>
              <w:top w:w="0" w:type="dxa"/>
              <w:left w:w="0" w:type="dxa"/>
              <w:bottom w:w="0" w:type="dxa"/>
              <w:right w:w="0" w:type="dxa"/>
            </w:tcMar>
            <w:vAlign w:val="center"/>
          </w:tcPr>
          <w:p>
            <w:pPr>
              <w:pStyle w:val="TableContents"/>
              <w:bidi w:val="0"/>
              <w:spacing w:before="0" w:after="0"/>
              <w:jc w:val="left"/>
              <w:rPr/>
            </w:pPr>
            <w:r>
              <w:rPr/>
              <w:t xml:space="preserve">Emerging growth company </w:t>
            </w:r>
          </w:p>
        </w:tc>
        <w:tc>
          <w:tcPr>
            <w:tcW w:w="800"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10205" w:type="dxa"/>
            <w:gridSpan w:val="4"/>
            <w:tcBorders/>
            <w:vAlign w:val="center"/>
          </w:tcPr>
          <w:p>
            <w:pPr>
              <w:pStyle w:val="TableContents"/>
              <w:bidi w:val="0"/>
              <w:spacing w:before="0" w:after="283"/>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pPr>
            <w:r>
              <w:rPr>
                <w:spacing w:val="0"/>
              </w:rPr>
              <w:t>If an emerging growth company, indicate by check mark if the registrant has elected not to use the extended transition period for complying with any new or revised financial accounting standards provided pursuant to Section 7(a)(2)(B) of the Securities Act. ☐</w:t>
            </w:r>
            <w:r>
              <w:rPr/>
              <w:t xml:space="preserve">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0" w:after="0"/>
        <w:jc w:val="center"/>
        <w:rPr/>
      </w:pPr>
      <w:r>
        <w:rPr>
          <w:b/>
          <w:color w:val="000000"/>
        </w:rPr>
        <w:t>EXPLANATORY NOTE</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left"/>
        <w:rPr/>
      </w:pPr>
      <w:r>
        <w:rPr>
          <w:color w:val="000000"/>
        </w:rPr>
        <w:t>This Registration Statement on Form S-8 (this “Registration Statement”) is being filed pursuant to General Instruction E to Form S-8 for the purpose of registering an additional 4,565,700 shares of common stock, par value $0.001 per share, of Gyre Therapeutics, Inc., a Delaware corporation (the “Registrant”), under the Gyre Therapeutics, Inc. 2023 Omnibus Incentive Plan (the “Plan”), pursuant to the provisions of the Plan providing for an automatic increase in the number of shares reserved and available for issuance under the Plan on January 1, 2026. In accordance with General Instruction E to Form S-8, this Registration Statement hereby incorporates by reference the contents of the Registrant’s Registration Statements on Form S-8 filed by the Company with respect to the Plan on October 31, 2023 (</w:t>
      </w:r>
      <w:hyperlink r:id="rId2">
        <w:r>
          <w:rPr>
            <w:rStyle w:val="InternetLink"/>
          </w:rPr>
          <w:t>SEC File No. 333-275222</w:t>
        </w:r>
      </w:hyperlink>
      <w:r>
        <w:rPr>
          <w:color w:val="000000"/>
        </w:rPr>
        <w:t>), March 28, 2024 (</w:t>
      </w:r>
      <w:hyperlink r:id="rId3">
        <w:r>
          <w:rPr>
            <w:rStyle w:val="InternetLink"/>
          </w:rPr>
          <w:t>SEC File No. 333-278291</w:t>
        </w:r>
      </w:hyperlink>
      <w:r>
        <w:rPr>
          <w:color w:val="000000"/>
        </w:rPr>
        <w:t>), and March 20, 2025 (</w:t>
      </w:r>
      <w:hyperlink r:id="rId4">
        <w:r>
          <w:rPr>
            <w:rStyle w:val="InternetLink"/>
          </w:rPr>
          <w:t>SEC File No. 333-285954</w:t>
        </w:r>
      </w:hyperlink>
      <w:r>
        <w:rPr>
          <w:color w:val="000000"/>
        </w:rPr>
        <w:t>), together with all exhibits filed therewith or incorporated therein by reference.</w:t>
      </w:r>
      <w:r>
        <w:rPr/>
        <w:t xml:space="preserve"> </w:t>
      </w:r>
    </w:p>
    <w:p>
      <w:pPr>
        <w:pStyle w:val="TextBody"/>
        <w:bidi w:val="0"/>
        <w:spacing w:before="0" w:after="0"/>
        <w:jc w:val="left"/>
        <w:rPr/>
      </w:pPr>
      <w:r>
        <w:rPr/>
        <w:t xml:space="preserve">  </w:t>
      </w:r>
    </w:p>
    <w:p>
      <w:pPr>
        <w:pStyle w:val="TextBody"/>
        <w:bidi w:val="0"/>
        <w:spacing w:before="0" w:after="0"/>
        <w:jc w:val="center"/>
        <w:rPr/>
      </w:pPr>
      <w:r>
        <w:rPr>
          <w:b/>
          <w:color w:val="000000"/>
        </w:rPr>
        <w:t>PART II</w:t>
      </w:r>
      <w:r>
        <w:rPr/>
        <w:t xml:space="preserve"> </w:t>
      </w:r>
    </w:p>
    <w:p>
      <w:pPr>
        <w:pStyle w:val="TextBody"/>
        <w:bidi w:val="0"/>
        <w:spacing w:before="0" w:after="0"/>
        <w:jc w:val="center"/>
        <w:rPr/>
      </w:pPr>
      <w:r>
        <w:rPr>
          <w:b/>
          <w:color w:val="000000"/>
        </w:rPr>
        <w:t>INFORMATION REQUIRED IN THE REGISTRATION STATEMENT</w:t>
      </w:r>
      <w:r>
        <w:rPr/>
        <w:t xml:space="preserve"> </w:t>
      </w:r>
    </w:p>
    <w:p>
      <w:pPr>
        <w:pStyle w:val="TextBody"/>
        <w:bidi w:val="0"/>
        <w:spacing w:before="0" w:after="0"/>
        <w:jc w:val="center"/>
        <w:rPr/>
      </w:pPr>
      <w:r>
        <w:rPr/>
        <w:t xml:space="preserve">  </w:t>
      </w:r>
    </w:p>
    <w:p>
      <w:pPr>
        <w:pStyle w:val="TextBody"/>
        <w:bidi w:val="0"/>
        <w:spacing w:before="0" w:after="0"/>
        <w:ind w:left="0" w:right="0" w:hanging="720"/>
        <w:jc w:val="left"/>
        <w:rPr/>
      </w:pPr>
      <w:r>
        <w:rPr>
          <w:b/>
          <w:color w:val="000000"/>
        </w:rPr>
        <w:t>Exhibits.</w:t>
      </w:r>
      <w:r>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color w:val="000000"/>
                              </w:rPr>
                              <w:t>Item 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color w:val="000000"/>
                        </w:rPr>
                        <w:t>Item 8.</w:t>
                      </w:r>
                      <w:r>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986"/>
        <w:gridCol w:w="9219"/>
      </w:tblGrid>
      <w:tr>
        <w:trPr/>
        <w:tc>
          <w:tcPr>
            <w:tcW w:w="986" w:type="dxa"/>
            <w:tcBorders/>
            <w:vAlign w:val="center"/>
          </w:tcPr>
          <w:p>
            <w:pPr>
              <w:pStyle w:val="TableContents"/>
              <w:bidi w:val="0"/>
              <w:spacing w:before="0" w:after="283"/>
              <w:jc w:val="left"/>
              <w:rPr/>
            </w:pPr>
            <w:r>
              <w:rPr/>
              <w:t> </w:t>
            </w:r>
          </w:p>
        </w:tc>
        <w:tc>
          <w:tcPr>
            <w:tcW w:w="9219" w:type="dxa"/>
            <w:tcBorders/>
            <w:vAlign w:val="center"/>
          </w:tcPr>
          <w:p>
            <w:pPr>
              <w:pStyle w:val="TableContents"/>
              <w:bidi w:val="0"/>
              <w:spacing w:before="0" w:after="283"/>
              <w:jc w:val="left"/>
              <w:rPr/>
            </w:pPr>
            <w:r>
              <w:rPr/>
              <w:t> </w:t>
            </w:r>
          </w:p>
        </w:tc>
      </w:tr>
      <w:tr>
        <w:trPr/>
        <w:tc>
          <w:tcPr>
            <w:tcW w:w="986" w:type="dxa"/>
            <w:tcBorders/>
            <w:tcMar>
              <w:top w:w="0" w:type="dxa"/>
              <w:left w:w="0" w:type="dxa"/>
              <w:bottom w:w="0" w:type="dxa"/>
              <w:right w:w="0" w:type="dxa"/>
            </w:tcMar>
            <w:vAlign w:val="center"/>
          </w:tcPr>
          <w:p>
            <w:pPr>
              <w:pStyle w:val="TableContents"/>
              <w:bidi w:val="0"/>
              <w:spacing w:before="0" w:after="0"/>
              <w:jc w:val="left"/>
              <w:rPr/>
            </w:pPr>
            <w:r>
              <w:rPr>
                <w:color w:val="000000"/>
                <w:u w:val="single"/>
              </w:rPr>
              <w:t>Exhibit No.</w:t>
            </w:r>
            <w:r>
              <w:rPr/>
              <w:t xml:space="preserve"> </w:t>
            </w:r>
          </w:p>
        </w:tc>
        <w:tc>
          <w:tcPr>
            <w:tcW w:w="9219" w:type="dxa"/>
            <w:tcBorders/>
            <w:tcMar>
              <w:top w:w="0" w:type="dxa"/>
              <w:left w:w="0" w:type="dxa"/>
              <w:bottom w:w="0" w:type="dxa"/>
              <w:right w:w="0" w:type="dxa"/>
            </w:tcMar>
            <w:vAlign w:val="center"/>
          </w:tcPr>
          <w:p>
            <w:pPr>
              <w:pStyle w:val="TableContents"/>
              <w:bidi w:val="0"/>
              <w:spacing w:before="0" w:after="0"/>
              <w:jc w:val="left"/>
              <w:rPr/>
            </w:pPr>
            <w:r>
              <w:rPr>
                <w:color w:val="000000"/>
                <w:u w:val="single"/>
              </w:rPr>
              <w:t>Exhibit Description</w:t>
            </w:r>
            <w:r>
              <w:rPr/>
              <w:t xml:space="preserve"> </w:t>
            </w:r>
          </w:p>
        </w:tc>
      </w:tr>
      <w:tr>
        <w:trPr/>
        <w:tc>
          <w:tcPr>
            <w:tcW w:w="986"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4.1</w:t>
            </w:r>
            <w:r>
              <w:rPr/>
              <w:t xml:space="preserve"> </w:t>
            </w:r>
          </w:p>
        </w:tc>
        <w:tc>
          <w:tcPr>
            <w:tcW w:w="9219" w:type="dxa"/>
            <w:tcBorders/>
            <w:shd w:fill="CCEEFF" w:val="clear"/>
            <w:tcMar>
              <w:top w:w="0" w:type="dxa"/>
              <w:left w:w="0" w:type="dxa"/>
              <w:bottom w:w="0" w:type="dxa"/>
              <w:right w:w="0" w:type="dxa"/>
            </w:tcMar>
            <w:vAlign w:val="center"/>
          </w:tcPr>
          <w:p>
            <w:pPr>
              <w:pStyle w:val="TableContents"/>
              <w:bidi w:val="0"/>
              <w:spacing w:before="0" w:after="0"/>
              <w:jc w:val="left"/>
              <w:rPr/>
            </w:pPr>
            <w:hyperlink r:id="rId5">
              <w:r>
                <w:rPr>
                  <w:rStyle w:val="InternetLink"/>
                </w:rPr>
                <w:t>Restated Certificate of Incorporation of the Registrant (incorporated by reference to Exhibit 3.1 to the Registrant’s Quarterly Report on Form 10-Q filed on November 13, 2024).</w:t>
              </w:r>
            </w:hyperlink>
            <w:r>
              <w:rPr/>
              <w:t xml:space="preserve"> </w:t>
            </w:r>
          </w:p>
        </w:tc>
      </w:tr>
      <w:tr>
        <w:trPr/>
        <w:tc>
          <w:tcPr>
            <w:tcW w:w="986" w:type="dxa"/>
            <w:tcBorders/>
            <w:tcMar>
              <w:top w:w="0" w:type="dxa"/>
              <w:left w:w="0" w:type="dxa"/>
              <w:bottom w:w="0" w:type="dxa"/>
              <w:right w:w="0" w:type="dxa"/>
            </w:tcMar>
            <w:vAlign w:val="center"/>
          </w:tcPr>
          <w:p>
            <w:pPr>
              <w:pStyle w:val="TableContents"/>
              <w:bidi w:val="0"/>
              <w:spacing w:before="0" w:after="0"/>
              <w:jc w:val="left"/>
              <w:rPr/>
            </w:pPr>
            <w:r>
              <w:rPr>
                <w:color w:val="000000"/>
              </w:rPr>
              <w:t>4.2</w:t>
            </w:r>
            <w:r>
              <w:rPr/>
              <w:t xml:space="preserve"> </w:t>
            </w:r>
          </w:p>
        </w:tc>
        <w:tc>
          <w:tcPr>
            <w:tcW w:w="9219" w:type="dxa"/>
            <w:tcBorders/>
            <w:tcMar>
              <w:top w:w="0" w:type="dxa"/>
              <w:left w:w="0" w:type="dxa"/>
              <w:bottom w:w="0" w:type="dxa"/>
              <w:right w:w="0" w:type="dxa"/>
            </w:tcMar>
            <w:vAlign w:val="center"/>
          </w:tcPr>
          <w:p>
            <w:pPr>
              <w:pStyle w:val="TableContents"/>
              <w:bidi w:val="0"/>
              <w:spacing w:before="0" w:after="0"/>
              <w:jc w:val="left"/>
              <w:rPr/>
            </w:pPr>
            <w:hyperlink r:id="rId6">
              <w:r>
                <w:rPr>
                  <w:rStyle w:val="InternetLink"/>
                  <w:color w:val="0000EE"/>
                  <w:u w:val="single"/>
                </w:rPr>
                <w:t>Certificate of Designation of Preferences, Rights and Limitations of Series X Convertible Preferred Stock (incorporated by reference to Exhibit 3.1 to the Registrant’s Current Report on Form 8-K filed on December 27, 2022).</w:t>
              </w:r>
            </w:hyperlink>
            <w:r>
              <w:rPr/>
              <w:t xml:space="preserve"> </w:t>
            </w:r>
          </w:p>
        </w:tc>
      </w:tr>
      <w:tr>
        <w:trPr/>
        <w:tc>
          <w:tcPr>
            <w:tcW w:w="986"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4.3</w:t>
            </w:r>
            <w:r>
              <w:rPr/>
              <w:t xml:space="preserve"> </w:t>
            </w:r>
          </w:p>
        </w:tc>
        <w:tc>
          <w:tcPr>
            <w:tcW w:w="9219" w:type="dxa"/>
            <w:tcBorders/>
            <w:shd w:fill="CCEEFF" w:val="clear"/>
            <w:tcMar>
              <w:top w:w="0" w:type="dxa"/>
              <w:left w:w="0" w:type="dxa"/>
              <w:bottom w:w="0" w:type="dxa"/>
              <w:right w:w="0" w:type="dxa"/>
            </w:tcMar>
            <w:vAlign w:val="center"/>
          </w:tcPr>
          <w:p>
            <w:pPr>
              <w:pStyle w:val="TableContents"/>
              <w:bidi w:val="0"/>
              <w:spacing w:before="0" w:after="0"/>
              <w:jc w:val="left"/>
              <w:rPr/>
            </w:pPr>
            <w:hyperlink r:id="rId7">
              <w:r>
                <w:rPr>
                  <w:rStyle w:val="InternetLink"/>
                  <w:color w:val="0000EE"/>
                  <w:u w:val="single"/>
                </w:rPr>
                <w:t>Amendment to Certificate of Designation of Preferences, Rights and Limitations of Series X Convertible Preferred Stock (incorporated by reference to Exhibit 3.2 to the Registrant’s Current Report on Form 8-K filed on October 30, 2023).</w:t>
              </w:r>
            </w:hyperlink>
            <w:r>
              <w:rPr/>
              <w:t xml:space="preserve"> </w:t>
            </w:r>
          </w:p>
        </w:tc>
      </w:tr>
      <w:tr>
        <w:trPr/>
        <w:tc>
          <w:tcPr>
            <w:tcW w:w="986" w:type="dxa"/>
            <w:tcBorders/>
            <w:tcMar>
              <w:top w:w="0" w:type="dxa"/>
              <w:left w:w="0" w:type="dxa"/>
              <w:bottom w:w="0" w:type="dxa"/>
              <w:right w:w="0" w:type="dxa"/>
            </w:tcMar>
            <w:vAlign w:val="center"/>
          </w:tcPr>
          <w:p>
            <w:pPr>
              <w:pStyle w:val="TableContents"/>
              <w:bidi w:val="0"/>
              <w:spacing w:before="0" w:after="0"/>
              <w:jc w:val="left"/>
              <w:rPr/>
            </w:pPr>
            <w:r>
              <w:rPr>
                <w:color w:val="000000"/>
              </w:rPr>
              <w:t>4.4</w:t>
            </w:r>
            <w:r>
              <w:rPr/>
              <w:t xml:space="preserve"> </w:t>
            </w:r>
          </w:p>
        </w:tc>
        <w:tc>
          <w:tcPr>
            <w:tcW w:w="9219" w:type="dxa"/>
            <w:tcBorders/>
            <w:tcMar>
              <w:top w:w="0" w:type="dxa"/>
              <w:left w:w="0" w:type="dxa"/>
              <w:bottom w:w="0" w:type="dxa"/>
              <w:right w:w="0" w:type="dxa"/>
            </w:tcMar>
            <w:vAlign w:val="center"/>
          </w:tcPr>
          <w:p>
            <w:pPr>
              <w:pStyle w:val="TableContents"/>
              <w:bidi w:val="0"/>
              <w:spacing w:before="0" w:after="0"/>
              <w:jc w:val="left"/>
              <w:rPr/>
            </w:pPr>
            <w:hyperlink r:id="rId8">
              <w:r>
                <w:rPr>
                  <w:rStyle w:val="InternetLink"/>
                  <w:color w:val="0000EE"/>
                  <w:u w:val="single"/>
                </w:rPr>
                <w:t>Certificate of Designation of Preferences, Rights and Limitations of Series Y Preferred Stock (incorporated by reference to Exhibit 3.1 to the Registrant’s Current Report on Form 8-K filed on June 20, 2023).</w:t>
              </w:r>
            </w:hyperlink>
            <w:r>
              <w:rPr/>
              <w:t xml:space="preserve"> </w:t>
            </w:r>
          </w:p>
        </w:tc>
      </w:tr>
      <w:tr>
        <w:trPr/>
        <w:tc>
          <w:tcPr>
            <w:tcW w:w="986"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4.5</w:t>
            </w:r>
            <w:r>
              <w:rPr/>
              <w:t xml:space="preserve"> </w:t>
            </w:r>
          </w:p>
        </w:tc>
        <w:tc>
          <w:tcPr>
            <w:tcW w:w="9219" w:type="dxa"/>
            <w:tcBorders/>
            <w:shd w:fill="CCEEFF" w:val="clear"/>
            <w:tcMar>
              <w:top w:w="0" w:type="dxa"/>
              <w:left w:w="0" w:type="dxa"/>
              <w:bottom w:w="0" w:type="dxa"/>
              <w:right w:w="0" w:type="dxa"/>
            </w:tcMar>
            <w:vAlign w:val="center"/>
          </w:tcPr>
          <w:p>
            <w:pPr>
              <w:pStyle w:val="TableContents"/>
              <w:bidi w:val="0"/>
              <w:spacing w:before="0" w:after="0"/>
              <w:jc w:val="left"/>
              <w:rPr/>
            </w:pPr>
            <w:hyperlink r:id="rId9">
              <w:r>
                <w:rPr>
                  <w:rStyle w:val="InternetLink"/>
                  <w:color w:val="0000EE"/>
                  <w:u w:val="single"/>
                </w:rPr>
                <w:t>Certificate of Elimination of Series Y Preferred Stock (incorporated by reference to Exhibit 3.1 to the Registrant’s Current Report on Form 8-K filed on August 31, 2023).</w:t>
              </w:r>
            </w:hyperlink>
            <w:r>
              <w:rPr/>
              <w:t xml:space="preserve"> </w:t>
            </w:r>
          </w:p>
        </w:tc>
      </w:tr>
      <w:tr>
        <w:trPr/>
        <w:tc>
          <w:tcPr>
            <w:tcW w:w="986" w:type="dxa"/>
            <w:tcBorders/>
            <w:tcMar>
              <w:top w:w="0" w:type="dxa"/>
              <w:left w:w="0" w:type="dxa"/>
              <w:bottom w:w="0" w:type="dxa"/>
              <w:right w:w="0" w:type="dxa"/>
            </w:tcMar>
            <w:vAlign w:val="center"/>
          </w:tcPr>
          <w:p>
            <w:pPr>
              <w:pStyle w:val="TableContents"/>
              <w:bidi w:val="0"/>
              <w:spacing w:before="0" w:after="0"/>
              <w:jc w:val="left"/>
              <w:rPr/>
            </w:pPr>
            <w:r>
              <w:rPr>
                <w:color w:val="000000"/>
              </w:rPr>
              <w:t>4.6</w:t>
            </w:r>
            <w:r>
              <w:rPr/>
              <w:t xml:space="preserve"> </w:t>
            </w:r>
          </w:p>
        </w:tc>
        <w:tc>
          <w:tcPr>
            <w:tcW w:w="9219" w:type="dxa"/>
            <w:tcBorders/>
            <w:tcMar>
              <w:top w:w="0" w:type="dxa"/>
              <w:left w:w="0" w:type="dxa"/>
              <w:bottom w:w="0" w:type="dxa"/>
              <w:right w:w="0" w:type="dxa"/>
            </w:tcMar>
            <w:vAlign w:val="center"/>
          </w:tcPr>
          <w:p>
            <w:pPr>
              <w:pStyle w:val="TableContents"/>
              <w:bidi w:val="0"/>
              <w:spacing w:before="0" w:after="0"/>
              <w:jc w:val="left"/>
              <w:rPr/>
            </w:pPr>
            <w:hyperlink r:id="rId10">
              <w:r>
                <w:rPr>
                  <w:rStyle w:val="InternetLink"/>
                  <w:color w:val="0000EE"/>
                  <w:u w:val="single"/>
                </w:rPr>
                <w:t>Certificate of Designation of Preferences, Rights and Limitations of Series A Convertible Preferred Stock (incorporated by reference to Exhibit 3.1 to the Registrant’s Current Report on Form 8-K filed on April 13, 2017).</w:t>
              </w:r>
            </w:hyperlink>
            <w:r>
              <w:rPr/>
              <w:t xml:space="preserve"> </w:t>
            </w:r>
          </w:p>
        </w:tc>
      </w:tr>
      <w:tr>
        <w:trPr/>
        <w:tc>
          <w:tcPr>
            <w:tcW w:w="986"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4.7</w:t>
            </w:r>
            <w:r>
              <w:rPr/>
              <w:t xml:space="preserve"> </w:t>
            </w:r>
          </w:p>
        </w:tc>
        <w:tc>
          <w:tcPr>
            <w:tcW w:w="9219" w:type="dxa"/>
            <w:tcBorders/>
            <w:shd w:fill="CCEEFF" w:val="clear"/>
            <w:tcMar>
              <w:top w:w="0" w:type="dxa"/>
              <w:left w:w="0" w:type="dxa"/>
              <w:bottom w:w="0" w:type="dxa"/>
              <w:right w:w="0" w:type="dxa"/>
            </w:tcMar>
            <w:vAlign w:val="center"/>
          </w:tcPr>
          <w:p>
            <w:pPr>
              <w:pStyle w:val="TableContents"/>
              <w:bidi w:val="0"/>
              <w:spacing w:before="0" w:after="0"/>
              <w:jc w:val="left"/>
              <w:rPr/>
            </w:pPr>
            <w:hyperlink r:id="rId11">
              <w:r>
                <w:rPr>
                  <w:rStyle w:val="InternetLink"/>
                  <w:color w:val="0000EE"/>
                  <w:u w:val="single"/>
                </w:rPr>
                <w:t>Certificate of Elimination of Series A Preferred Stock (incorporated by reference to Exhibit 3.6(b) to the Registrant’s Annual Report on Form 10-K filed on March 27, 2024).</w:t>
              </w:r>
            </w:hyperlink>
            <w:r>
              <w:rPr/>
              <w:t xml:space="preserve"> </w:t>
            </w:r>
          </w:p>
        </w:tc>
      </w:tr>
      <w:tr>
        <w:trPr/>
        <w:tc>
          <w:tcPr>
            <w:tcW w:w="986" w:type="dxa"/>
            <w:tcBorders/>
            <w:tcMar>
              <w:top w:w="0" w:type="dxa"/>
              <w:left w:w="0" w:type="dxa"/>
              <w:bottom w:w="0" w:type="dxa"/>
              <w:right w:w="0" w:type="dxa"/>
            </w:tcMar>
            <w:vAlign w:val="center"/>
          </w:tcPr>
          <w:p>
            <w:pPr>
              <w:pStyle w:val="TableContents"/>
              <w:bidi w:val="0"/>
              <w:spacing w:before="0" w:after="0"/>
              <w:jc w:val="left"/>
              <w:rPr/>
            </w:pPr>
            <w:r>
              <w:rPr>
                <w:color w:val="000000"/>
              </w:rPr>
              <w:t>4.8</w:t>
            </w:r>
            <w:r>
              <w:rPr/>
              <w:t xml:space="preserve"> </w:t>
            </w:r>
          </w:p>
        </w:tc>
        <w:tc>
          <w:tcPr>
            <w:tcW w:w="9219" w:type="dxa"/>
            <w:tcBorders/>
            <w:tcMar>
              <w:top w:w="0" w:type="dxa"/>
              <w:left w:w="0" w:type="dxa"/>
              <w:bottom w:w="0" w:type="dxa"/>
              <w:right w:w="0" w:type="dxa"/>
            </w:tcMar>
            <w:vAlign w:val="center"/>
          </w:tcPr>
          <w:p>
            <w:pPr>
              <w:pStyle w:val="TableContents"/>
              <w:bidi w:val="0"/>
              <w:spacing w:before="0" w:after="0"/>
              <w:jc w:val="left"/>
              <w:rPr/>
            </w:pPr>
            <w:hyperlink r:id="rId12">
              <w:r>
                <w:rPr>
                  <w:rStyle w:val="InternetLink"/>
                </w:rPr>
                <w:t>Certificate of Designation of Preferences, Rights and Limitations of Series B Convertible Preferred Stock (incorporated by reference to Exhibit 4.8 to the Registrant’s Registration Statement on Form S-8 filed on June 10, 2026).</w:t>
              </w:r>
            </w:hyperlink>
            <w:r>
              <w:rPr/>
              <w:t xml:space="preserve"> </w:t>
            </w:r>
          </w:p>
        </w:tc>
      </w:tr>
      <w:tr>
        <w:trPr/>
        <w:tc>
          <w:tcPr>
            <w:tcW w:w="986"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4.9</w:t>
            </w:r>
            <w:r>
              <w:rPr/>
              <w:t xml:space="preserve"> </w:t>
            </w:r>
          </w:p>
        </w:tc>
        <w:tc>
          <w:tcPr>
            <w:tcW w:w="9219" w:type="dxa"/>
            <w:tcBorders/>
            <w:shd w:fill="CCEEFF" w:val="clear"/>
            <w:tcMar>
              <w:top w:w="0" w:type="dxa"/>
              <w:left w:w="0" w:type="dxa"/>
              <w:bottom w:w="0" w:type="dxa"/>
              <w:right w:w="0" w:type="dxa"/>
            </w:tcMar>
            <w:vAlign w:val="center"/>
          </w:tcPr>
          <w:p>
            <w:pPr>
              <w:pStyle w:val="TableContents"/>
              <w:bidi w:val="0"/>
              <w:spacing w:before="0" w:after="0"/>
              <w:jc w:val="left"/>
              <w:rPr/>
            </w:pPr>
            <w:hyperlink r:id="rId13">
              <w:r>
                <w:rPr>
                  <w:rStyle w:val="InternetLink"/>
                  <w:color w:val="0000EE"/>
                  <w:u w:val="single"/>
                </w:rPr>
                <w:t>Amended and Restated Bylaws of the Registrant (incorporated by reference to Exhibit 3.3 to the Registrant’s Current Report on Form 8-K filed on October 30, 2023).</w:t>
              </w:r>
            </w:hyperlink>
            <w:r>
              <w:rPr/>
              <w:t xml:space="preserve"> </w:t>
            </w:r>
          </w:p>
        </w:tc>
      </w:tr>
      <w:tr>
        <w:trPr/>
        <w:tc>
          <w:tcPr>
            <w:tcW w:w="986" w:type="dxa"/>
            <w:tcBorders/>
            <w:tcMar>
              <w:top w:w="0" w:type="dxa"/>
              <w:left w:w="0" w:type="dxa"/>
              <w:bottom w:w="0" w:type="dxa"/>
              <w:right w:w="0" w:type="dxa"/>
            </w:tcMar>
            <w:vAlign w:val="center"/>
          </w:tcPr>
          <w:p>
            <w:pPr>
              <w:pStyle w:val="TableContents"/>
              <w:bidi w:val="0"/>
              <w:spacing w:before="0" w:after="0"/>
              <w:jc w:val="left"/>
              <w:rPr/>
            </w:pPr>
            <w:r>
              <w:rPr>
                <w:color w:val="000000"/>
              </w:rPr>
              <w:t>5.1*</w:t>
            </w:r>
            <w:r>
              <w:rPr/>
              <w:t xml:space="preserve"> </w:t>
            </w:r>
          </w:p>
        </w:tc>
        <w:tc>
          <w:tcPr>
            <w:tcW w:w="9219" w:type="dxa"/>
            <w:tcBorders/>
            <w:tcMar>
              <w:top w:w="0" w:type="dxa"/>
              <w:left w:w="0" w:type="dxa"/>
              <w:bottom w:w="0" w:type="dxa"/>
              <w:right w:w="0" w:type="dxa"/>
            </w:tcMar>
            <w:vAlign w:val="center"/>
          </w:tcPr>
          <w:p>
            <w:pPr>
              <w:pStyle w:val="TableContents"/>
              <w:bidi w:val="0"/>
              <w:spacing w:before="0" w:after="0"/>
              <w:jc w:val="left"/>
              <w:rPr/>
            </w:pPr>
            <w:hyperlink w:anchor="ef20081105_ex5-1.htm">
              <w:r>
                <w:rPr>
                  <w:rStyle w:val="InternetLink"/>
                </w:rPr>
                <w:t>Opinion of Gibson, Dunn &amp; Crutcher LLP.</w:t>
              </w:r>
            </w:hyperlink>
            <w:r>
              <w:rPr/>
              <w:t xml:space="preserve"> </w:t>
            </w:r>
          </w:p>
        </w:tc>
      </w:tr>
      <w:tr>
        <w:trPr/>
        <w:tc>
          <w:tcPr>
            <w:tcW w:w="986"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23.1*</w:t>
            </w:r>
            <w:r>
              <w:rPr/>
              <w:t xml:space="preserve"> </w:t>
            </w:r>
          </w:p>
        </w:tc>
        <w:tc>
          <w:tcPr>
            <w:tcW w:w="9219"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81105_ex23-1.htm">
              <w:r>
                <w:rPr>
                  <w:rStyle w:val="InternetLink"/>
                </w:rPr>
                <w:t>Consent of Grant Thornton Zhitong Certified Public Accountants LLP.</w:t>
              </w:r>
            </w:hyperlink>
            <w:r>
              <w:rPr/>
              <w:t xml:space="preserve"> </w:t>
            </w:r>
          </w:p>
        </w:tc>
      </w:tr>
      <w:tr>
        <w:trPr/>
        <w:tc>
          <w:tcPr>
            <w:tcW w:w="986" w:type="dxa"/>
            <w:tcBorders/>
            <w:tcMar>
              <w:top w:w="0" w:type="dxa"/>
              <w:left w:w="0" w:type="dxa"/>
              <w:bottom w:w="0" w:type="dxa"/>
              <w:right w:w="0" w:type="dxa"/>
            </w:tcMar>
            <w:vAlign w:val="center"/>
          </w:tcPr>
          <w:p>
            <w:pPr>
              <w:pStyle w:val="TableContents"/>
              <w:bidi w:val="0"/>
              <w:spacing w:before="0" w:after="0"/>
              <w:jc w:val="left"/>
              <w:rPr/>
            </w:pPr>
            <w:r>
              <w:rPr>
                <w:color w:val="000000"/>
              </w:rPr>
              <w:t>23.2*</w:t>
            </w:r>
            <w:r>
              <w:rPr/>
              <w:t xml:space="preserve"> </w:t>
            </w:r>
          </w:p>
        </w:tc>
        <w:tc>
          <w:tcPr>
            <w:tcW w:w="9219" w:type="dxa"/>
            <w:tcBorders/>
            <w:tcMar>
              <w:top w:w="0" w:type="dxa"/>
              <w:left w:w="0" w:type="dxa"/>
              <w:bottom w:w="0" w:type="dxa"/>
              <w:right w:w="0" w:type="dxa"/>
            </w:tcMar>
            <w:vAlign w:val="center"/>
          </w:tcPr>
          <w:p>
            <w:pPr>
              <w:pStyle w:val="TableContents"/>
              <w:bidi w:val="0"/>
              <w:spacing w:before="0" w:after="0"/>
              <w:jc w:val="left"/>
              <w:rPr/>
            </w:pPr>
            <w:hyperlink w:anchor="ef20081105_ex5-1.htm">
              <w:r>
                <w:rPr>
                  <w:rStyle w:val="InternetLink"/>
                </w:rPr>
                <w:t>Consent of Gibson, Dunn &amp; Crutcher LLP (included in Exhibit 5.1).</w:t>
              </w:r>
            </w:hyperlink>
            <w:r>
              <w:rPr/>
              <w:t xml:space="preserve"> </w:t>
            </w:r>
          </w:p>
        </w:tc>
      </w:tr>
      <w:tr>
        <w:trPr/>
        <w:tc>
          <w:tcPr>
            <w:tcW w:w="986"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24.1*</w:t>
            </w:r>
            <w:r>
              <w:rPr/>
              <w:t xml:space="preserve"> </w:t>
            </w:r>
          </w:p>
        </w:tc>
        <w:tc>
          <w:tcPr>
            <w:tcW w:w="9219"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POWER_OF_ATTORNEY">
              <w:r>
                <w:rPr>
                  <w:rStyle w:val="InternetLink"/>
                </w:rPr>
                <w:t>Power of Attorney (included on the signature page hereto).</w:t>
              </w:r>
            </w:hyperlink>
            <w:r>
              <w:rPr/>
              <w:t xml:space="preserve"> </w:t>
            </w:r>
          </w:p>
        </w:tc>
      </w:tr>
      <w:tr>
        <w:trPr/>
        <w:tc>
          <w:tcPr>
            <w:tcW w:w="986" w:type="dxa"/>
            <w:tcBorders/>
            <w:tcMar>
              <w:top w:w="0" w:type="dxa"/>
              <w:left w:w="0" w:type="dxa"/>
              <w:bottom w:w="0" w:type="dxa"/>
              <w:right w:w="0" w:type="dxa"/>
            </w:tcMar>
            <w:vAlign w:val="center"/>
          </w:tcPr>
          <w:p>
            <w:pPr>
              <w:pStyle w:val="TableContents"/>
              <w:bidi w:val="0"/>
              <w:spacing w:before="0" w:after="0"/>
              <w:jc w:val="left"/>
              <w:rPr/>
            </w:pPr>
            <w:r>
              <w:rPr>
                <w:color w:val="000000"/>
              </w:rPr>
              <w:t>99.1</w:t>
            </w:r>
            <w:r>
              <w:rPr/>
              <w:t xml:space="preserve"> </w:t>
            </w:r>
          </w:p>
        </w:tc>
        <w:tc>
          <w:tcPr>
            <w:tcW w:w="9219" w:type="dxa"/>
            <w:tcBorders/>
            <w:tcMar>
              <w:top w:w="0" w:type="dxa"/>
              <w:left w:w="0" w:type="dxa"/>
              <w:bottom w:w="0" w:type="dxa"/>
              <w:right w:w="0" w:type="dxa"/>
            </w:tcMar>
            <w:vAlign w:val="center"/>
          </w:tcPr>
          <w:p>
            <w:pPr>
              <w:pStyle w:val="TableContents"/>
              <w:bidi w:val="0"/>
              <w:spacing w:before="0" w:after="283"/>
              <w:jc w:val="both"/>
              <w:rPr/>
            </w:pPr>
            <w:hyperlink r:id="rId14">
              <w:r>
                <w:rPr>
                  <w:rStyle w:val="InternetLink"/>
                  <w:color w:val="0000EE"/>
                  <w:u w:val="single"/>
                </w:rPr>
                <w:t>Gyre Therapeutics, Inc. 2023 Omnibus Incentive Plan (incorporated by reference to Exhibit 10.2 to the Registrant’s Current Report on Form 8-K filed on October 30, 2023).</w:t>
              </w:r>
            </w:hyperlink>
            <w:r>
              <w:rPr/>
              <w:t xml:space="preserve"> </w:t>
            </w:r>
          </w:p>
        </w:tc>
      </w:tr>
      <w:tr>
        <w:trPr/>
        <w:tc>
          <w:tcPr>
            <w:tcW w:w="986" w:type="dxa"/>
            <w:tcBorders/>
            <w:shd w:fill="CCEEFF" w:val="clear"/>
            <w:tcMar>
              <w:top w:w="0" w:type="dxa"/>
              <w:left w:w="0" w:type="dxa"/>
              <w:bottom w:w="0" w:type="dxa"/>
              <w:right w:w="0" w:type="dxa"/>
            </w:tcMar>
            <w:vAlign w:val="center"/>
          </w:tcPr>
          <w:p>
            <w:pPr>
              <w:pStyle w:val="TableContents"/>
              <w:bidi w:val="0"/>
              <w:spacing w:before="0" w:after="0"/>
              <w:jc w:val="left"/>
              <w:rPr>
                <w:sz w:val="18"/>
              </w:rPr>
            </w:pPr>
            <w:r>
              <w:rPr>
                <w:color w:val="000000"/>
                <w:sz w:val="18"/>
              </w:rPr>
              <w:t>107.1*</w:t>
            </w:r>
            <w:r>
              <w:rPr>
                <w:sz w:val="18"/>
              </w:rPr>
              <w:t xml:space="preserve"> </w:t>
            </w:r>
          </w:p>
        </w:tc>
        <w:tc>
          <w:tcPr>
            <w:tcW w:w="9219"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ef20081105_ex107.htm">
              <w:r>
                <w:rPr>
                  <w:rStyle w:val="InternetLink"/>
                </w:rPr>
                <w:t>Filing Fee Table.</w:t>
              </w:r>
            </w:hyperlink>
            <w:r>
              <w:rPr/>
              <w:t xml:space="preserve"> </w:t>
            </w:r>
          </w:p>
        </w:tc>
      </w:tr>
    </w:tbl>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color w:val="000000"/>
        </w:rPr>
        <w:t>*Filed herewith.</w:t>
      </w:r>
      <w:r>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0" w:after="0"/>
        <w:jc w:val="center"/>
        <w:rPr/>
      </w:pPr>
      <w:r>
        <w:rPr>
          <w:b/>
          <w:color w:val="000000"/>
        </w:rPr>
        <w:t>SIGNATURES</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left"/>
        <w:rPr/>
      </w:pPr>
      <w:r>
        <w:rPr>
          <w:color w:val="000000"/>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August 27, 2026.</w:t>
      </w:r>
      <w:r>
        <w:rPr/>
        <w:t xml:space="preserve"> </w:t>
      </w:r>
    </w:p>
    <w:p>
      <w:pPr>
        <w:pStyle w:val="TextBody"/>
        <w:bidi w:val="0"/>
        <w:spacing w:before="0" w:after="0"/>
        <w:jc w:val="left"/>
        <w:rPr/>
      </w:pPr>
      <w:r>
        <w:rPr/>
        <w:t xml:space="preserve">  </w:t>
      </w:r>
    </w:p>
    <w:tbl>
      <w:tblPr>
        <w:tblW w:w="5000" w:type="pct"/>
        <w:jc w:val="left"/>
        <w:tblInd w:w="0" w:type="dxa"/>
        <w:tblLayout w:type="fixed"/>
        <w:tblCellMar>
          <w:top w:w="0" w:type="dxa"/>
          <w:left w:w="0" w:type="dxa"/>
          <w:bottom w:w="0" w:type="dxa"/>
          <w:right w:w="0" w:type="dxa"/>
        </w:tblCellMar>
      </w:tblPr>
      <w:tblGrid>
        <w:gridCol w:w="279"/>
        <w:gridCol w:w="1530"/>
        <w:gridCol w:w="8396"/>
      </w:tblGrid>
      <w:tr>
        <w:trPr/>
        <w:tc>
          <w:tcPr>
            <w:tcW w:w="279"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8396" w:type="dxa"/>
            <w:tcBorders/>
            <w:vAlign w:val="center"/>
          </w:tcPr>
          <w:p>
            <w:pPr>
              <w:pStyle w:val="TableContents"/>
              <w:bidi w:val="0"/>
              <w:spacing w:before="0" w:after="283"/>
              <w:jc w:val="left"/>
              <w:rPr>
                <w:sz w:val="4"/>
                <w:szCs w:val="4"/>
              </w:rPr>
            </w:pPr>
            <w:r>
              <w:rPr>
                <w:sz w:val="4"/>
                <w:szCs w:val="4"/>
              </w:rPr>
            </w:r>
          </w:p>
        </w:tc>
      </w:tr>
      <w:tr>
        <w:trPr/>
        <w:tc>
          <w:tcPr>
            <w:tcW w:w="279" w:type="dxa"/>
            <w:tcBorders/>
          </w:tcPr>
          <w:p>
            <w:pPr>
              <w:pStyle w:val="TableContents"/>
              <w:bidi w:val="0"/>
              <w:spacing w:before="0" w:after="283"/>
              <w:jc w:val="left"/>
              <w:rPr/>
            </w:pPr>
            <w:r>
              <w:rPr/>
              <w:t> </w:t>
            </w:r>
          </w:p>
        </w:tc>
        <w:tc>
          <w:tcPr>
            <w:tcW w:w="9926" w:type="dxa"/>
            <w:gridSpan w:val="2"/>
            <w:tcBorders/>
          </w:tcPr>
          <w:p>
            <w:pPr>
              <w:pStyle w:val="TableContents"/>
              <w:bidi w:val="0"/>
              <w:spacing w:before="0" w:after="0"/>
              <w:ind w:left="0" w:right="0" w:hanging="0"/>
              <w:jc w:val="left"/>
              <w:rPr>
                <w:sz w:val="20"/>
              </w:rPr>
            </w:pPr>
            <w:r>
              <w:rPr>
                <w:sz w:val="20"/>
              </w:rPr>
              <w:t>Gyre Therapeutics, Inc.</w:t>
            </w:r>
          </w:p>
        </w:tc>
      </w:tr>
      <w:tr>
        <w:trPr/>
        <w:tc>
          <w:tcPr>
            <w:tcW w:w="279" w:type="dxa"/>
            <w:tcBorders/>
          </w:tcPr>
          <w:p>
            <w:pPr>
              <w:pStyle w:val="TableContents"/>
              <w:bidi w:val="0"/>
              <w:spacing w:before="0" w:after="283"/>
              <w:jc w:val="left"/>
              <w:rPr/>
            </w:pPr>
            <w:r>
              <w:rPr/>
              <w:t> </w:t>
            </w:r>
          </w:p>
        </w:tc>
        <w:tc>
          <w:tcPr>
            <w:tcW w:w="9926" w:type="dxa"/>
            <w:gridSpan w:val="2"/>
            <w:tcBorders/>
          </w:tcPr>
          <w:p>
            <w:pPr>
              <w:pStyle w:val="TableContents"/>
              <w:bidi w:val="0"/>
              <w:spacing w:before="0" w:after="283"/>
              <w:jc w:val="left"/>
              <w:rPr/>
            </w:pPr>
            <w:r>
              <w:rPr/>
              <w:t> </w:t>
            </w:r>
          </w:p>
        </w:tc>
      </w:tr>
      <w:tr>
        <w:trPr/>
        <w:tc>
          <w:tcPr>
            <w:tcW w:w="279" w:type="dxa"/>
            <w:tcBorders/>
          </w:tcPr>
          <w:p>
            <w:pPr>
              <w:pStyle w:val="TableContents"/>
              <w:bidi w:val="0"/>
              <w:spacing w:before="0" w:after="283"/>
              <w:jc w:val="left"/>
              <w:rPr/>
            </w:pPr>
            <w:r>
              <w:rPr/>
              <w:t> </w:t>
            </w:r>
          </w:p>
        </w:tc>
        <w:tc>
          <w:tcPr>
            <w:tcW w:w="1530" w:type="dxa"/>
            <w:tcBorders/>
          </w:tcPr>
          <w:p>
            <w:pPr>
              <w:pStyle w:val="TableContents"/>
              <w:bidi w:val="0"/>
              <w:spacing w:before="0" w:after="0"/>
              <w:ind w:left="0" w:right="0" w:hanging="0"/>
              <w:jc w:val="left"/>
              <w:rPr>
                <w:sz w:val="20"/>
              </w:rPr>
            </w:pPr>
            <w:r>
              <w:rPr>
                <w:sz w:val="20"/>
              </w:rPr>
              <w:t>By:</w:t>
            </w:r>
          </w:p>
        </w:tc>
        <w:tc>
          <w:tcPr>
            <w:tcW w:w="8396" w:type="dxa"/>
            <w:tcBorders>
              <w:bottom w:val="single" w:sz="12" w:space="0" w:color="000000"/>
            </w:tcBorders>
            <w:tcMar>
              <w:bottom w:w="28" w:type="dxa"/>
            </w:tcMar>
          </w:tcPr>
          <w:p>
            <w:pPr>
              <w:pStyle w:val="TableContents"/>
              <w:bidi w:val="0"/>
              <w:spacing w:before="0" w:after="0"/>
              <w:ind w:left="0" w:right="0" w:hanging="0"/>
              <w:jc w:val="left"/>
              <w:rPr>
                <w:sz w:val="20"/>
              </w:rPr>
            </w:pPr>
            <w:r>
              <w:rPr>
                <w:sz w:val="20"/>
              </w:rPr>
              <w:t>/s/ Ying Luo, Ph.D.</w:t>
            </w:r>
          </w:p>
        </w:tc>
      </w:tr>
      <w:tr>
        <w:trPr/>
        <w:tc>
          <w:tcPr>
            <w:tcW w:w="279" w:type="dxa"/>
            <w:tcBorders/>
          </w:tcPr>
          <w:p>
            <w:pPr>
              <w:pStyle w:val="TableContents"/>
              <w:bidi w:val="0"/>
              <w:spacing w:before="0" w:after="283"/>
              <w:jc w:val="left"/>
              <w:rPr/>
            </w:pPr>
            <w:r>
              <w:rPr/>
              <w:t> </w:t>
            </w:r>
          </w:p>
        </w:tc>
        <w:tc>
          <w:tcPr>
            <w:tcW w:w="1530" w:type="dxa"/>
            <w:tcBorders/>
          </w:tcPr>
          <w:p>
            <w:pPr>
              <w:pStyle w:val="TableContents"/>
              <w:bidi w:val="0"/>
              <w:spacing w:before="0" w:after="0"/>
              <w:ind w:left="0" w:right="0" w:hanging="0"/>
              <w:jc w:val="left"/>
              <w:rPr>
                <w:sz w:val="20"/>
              </w:rPr>
            </w:pPr>
            <w:r>
              <w:rPr>
                <w:sz w:val="20"/>
              </w:rPr>
              <w:t>Name:</w:t>
            </w:r>
          </w:p>
        </w:tc>
        <w:tc>
          <w:tcPr>
            <w:tcW w:w="8396" w:type="dxa"/>
            <w:tcBorders/>
          </w:tcPr>
          <w:p>
            <w:pPr>
              <w:pStyle w:val="TableContents"/>
              <w:bidi w:val="0"/>
              <w:spacing w:before="0" w:after="0"/>
              <w:ind w:left="0" w:right="0" w:hanging="0"/>
              <w:jc w:val="left"/>
              <w:rPr>
                <w:sz w:val="20"/>
              </w:rPr>
            </w:pPr>
            <w:r>
              <w:rPr>
                <w:sz w:val="20"/>
              </w:rPr>
              <w:t>Ying Luo, Ph.D.</w:t>
            </w:r>
          </w:p>
        </w:tc>
      </w:tr>
      <w:tr>
        <w:trPr/>
        <w:tc>
          <w:tcPr>
            <w:tcW w:w="279" w:type="dxa"/>
            <w:tcBorders/>
          </w:tcPr>
          <w:p>
            <w:pPr>
              <w:pStyle w:val="TableContents"/>
              <w:bidi w:val="0"/>
              <w:spacing w:before="0" w:after="283"/>
              <w:jc w:val="left"/>
              <w:rPr/>
            </w:pPr>
            <w:r>
              <w:rPr/>
              <w:t> </w:t>
            </w:r>
          </w:p>
        </w:tc>
        <w:tc>
          <w:tcPr>
            <w:tcW w:w="1530" w:type="dxa"/>
            <w:tcBorders/>
          </w:tcPr>
          <w:p>
            <w:pPr>
              <w:pStyle w:val="TableContents"/>
              <w:bidi w:val="0"/>
              <w:spacing w:before="0" w:after="0"/>
              <w:ind w:left="0" w:right="0" w:hanging="0"/>
              <w:jc w:val="left"/>
              <w:rPr>
                <w:sz w:val="20"/>
              </w:rPr>
            </w:pPr>
            <w:r>
              <w:rPr>
                <w:sz w:val="20"/>
              </w:rPr>
              <w:t>Title:</w:t>
            </w:r>
          </w:p>
        </w:tc>
        <w:tc>
          <w:tcPr>
            <w:tcW w:w="8396" w:type="dxa"/>
            <w:tcBorders/>
          </w:tcPr>
          <w:p>
            <w:pPr>
              <w:pStyle w:val="TableContents"/>
              <w:bidi w:val="0"/>
              <w:spacing w:before="0" w:after="0"/>
              <w:ind w:left="0" w:right="0" w:hanging="0"/>
              <w:jc w:val="left"/>
              <w:rPr>
                <w:sz w:val="20"/>
              </w:rPr>
            </w:pPr>
            <w:r>
              <w:rPr>
                <w:sz w:val="20"/>
              </w:rPr>
              <w:t>President and Chief Executive Officer</w:t>
            </w:r>
          </w:p>
        </w:tc>
      </w:tr>
    </w:tbl>
    <w:p>
      <w:pPr>
        <w:pStyle w:val="TextBody"/>
        <w:bidi w:val="0"/>
        <w:spacing w:before="0" w:after="0"/>
        <w:jc w:val="left"/>
        <w:rPr/>
      </w:pPr>
      <w:r>
        <w:rPr/>
        <w:t> </w:t>
      </w:r>
    </w:p>
    <w:p>
      <w:pPr>
        <w:pStyle w:val="TextBody"/>
        <w:bidi w:val="0"/>
        <w:spacing w:before="0" w:after="0"/>
        <w:jc w:val="center"/>
        <w:rPr>
          <w:b/>
        </w:rPr>
      </w:pPr>
      <w:bookmarkStart w:id="2" w:name="POWER_OF_ATTORNEY"/>
      <w:bookmarkEnd w:id="2"/>
      <w:r>
        <w:rPr>
          <w:b/>
        </w:rPr>
        <w:t>POWER OF ATTORNEY</w:t>
      </w:r>
    </w:p>
    <w:p>
      <w:pPr>
        <w:pStyle w:val="TextBody"/>
        <w:bidi w:val="0"/>
        <w:spacing w:before="0" w:after="0"/>
        <w:jc w:val="left"/>
        <w:rPr/>
      </w:pPr>
      <w:r>
        <w:rPr/>
        <w:t xml:space="preserve">  </w:t>
      </w:r>
    </w:p>
    <w:p>
      <w:pPr>
        <w:pStyle w:val="TextBody"/>
        <w:bidi w:val="0"/>
        <w:spacing w:before="0" w:after="0"/>
        <w:ind w:left="0" w:right="0" w:firstLine="720"/>
        <w:jc w:val="left"/>
        <w:rPr/>
      </w:pPr>
      <w:r>
        <w:rPr>
          <w:color w:val="000000"/>
        </w:rPr>
        <w:t>KNOW ALL PERSONS BY THESE PRESENTS, that each person whose signature appears below constitutes and appoints Ying Luo and Thomas Eastling, or either of them, severally, the individual’s true and lawful attorney-in-fact and agent,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or substitutes may lawfully do or cause to be done by virtue hereof.</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color w:val="000000"/>
        </w:rPr>
        <w:t>Pursuant to the requirements of the Securities Act, this Registration Statement has been signed by the following persons in the capacities indicated on August 27, 2026.</w:t>
      </w:r>
      <w:r>
        <w:rPr/>
        <w:t xml:space="preserve"> </w:t>
      </w:r>
    </w:p>
    <w:p>
      <w:pPr>
        <w:pStyle w:val="TextBody"/>
        <w:bidi w:val="0"/>
        <w:spacing w:before="0" w:after="0"/>
        <w:jc w:val="left"/>
        <w:rPr/>
      </w:pPr>
      <w:r>
        <w:rPr/>
        <w:t xml:space="preserve">  </w:t>
      </w:r>
    </w:p>
    <w:tbl>
      <w:tblPr>
        <w:tblW w:w="8304" w:type="dxa"/>
        <w:jc w:val="left"/>
        <w:tblInd w:w="0" w:type="dxa"/>
        <w:tblLayout w:type="fixed"/>
        <w:tblCellMar>
          <w:top w:w="28" w:type="dxa"/>
          <w:left w:w="28" w:type="dxa"/>
          <w:bottom w:w="28" w:type="dxa"/>
          <w:right w:w="28" w:type="dxa"/>
        </w:tblCellMar>
      </w:tblPr>
      <w:tblGrid>
        <w:gridCol w:w="3301"/>
        <w:gridCol w:w="146"/>
        <w:gridCol w:w="146"/>
        <w:gridCol w:w="4711"/>
      </w:tblGrid>
      <w:tr>
        <w:trPr/>
        <w:tc>
          <w:tcPr>
            <w:tcW w:w="3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11" w:type="dxa"/>
            <w:tcBorders/>
            <w:vAlign w:val="center"/>
          </w:tcPr>
          <w:p>
            <w:pPr>
              <w:pStyle w:val="TableContents"/>
              <w:bidi w:val="0"/>
              <w:spacing w:before="0" w:after="283"/>
              <w:jc w:val="left"/>
              <w:rPr/>
            </w:pPr>
            <w:r>
              <w:rPr/>
              <w:t> </w:t>
            </w:r>
          </w:p>
        </w:tc>
      </w:tr>
      <w:tr>
        <w:trPr/>
        <w:tc>
          <w:tcPr>
            <w:tcW w:w="33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Signature</w:t>
            </w:r>
            <w:r>
              <w:rPr/>
              <w:t xml:space="preserve">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Title</w:t>
            </w:r>
            <w:r>
              <w:rPr/>
              <w:t xml:space="preserve"> </w:t>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Ying Luo, Ph.D.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0"/>
              <w:jc w:val="left"/>
              <w:rPr/>
            </w:pPr>
            <w:r>
              <w:rPr/>
              <w:t xml:space="preserve">President, Chief Executive Officer and Director </w:t>
            </w:r>
          </w:p>
        </w:tc>
      </w:tr>
      <w:tr>
        <w:trPr/>
        <w:tc>
          <w:tcPr>
            <w:tcW w:w="3447" w:type="dxa"/>
            <w:gridSpan w:val="2"/>
            <w:tcBorders/>
            <w:tcMar>
              <w:top w:w="0" w:type="dxa"/>
              <w:left w:w="0" w:type="dxa"/>
              <w:bottom w:w="0" w:type="dxa"/>
              <w:right w:w="0" w:type="dxa"/>
            </w:tcMar>
            <w:vAlign w:val="center"/>
          </w:tcPr>
          <w:p>
            <w:pPr>
              <w:pStyle w:val="TableContents"/>
              <w:bidi w:val="0"/>
              <w:spacing w:before="0" w:after="0"/>
              <w:jc w:val="left"/>
              <w:rPr/>
            </w:pPr>
            <w:r>
              <w:rPr/>
              <w:t xml:space="preserve">Ying Luo, Ph.D.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0"/>
              <w:jc w:val="left"/>
              <w:rPr/>
            </w:pPr>
            <w:r>
              <w:rPr/>
              <w:t>(</w:t>
            </w:r>
            <w:r>
              <w:rPr>
                <w:i/>
              </w:rPr>
              <w:t>Principal Executive Officer</w:t>
            </w:r>
            <w:r>
              <w:rPr/>
              <w:t xml:space="preserve">) </w:t>
            </w:r>
          </w:p>
        </w:tc>
      </w:tr>
      <w:tr>
        <w:trPr/>
        <w:tc>
          <w:tcPr>
            <w:tcW w:w="3447" w:type="dxa"/>
            <w:gridSpan w:val="2"/>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Thomas Eastling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0"/>
              <w:jc w:val="left"/>
              <w:rPr/>
            </w:pPr>
            <w:r>
              <w:rPr/>
              <w:t xml:space="preserve">Chief Financial Officer </w:t>
            </w:r>
          </w:p>
        </w:tc>
      </w:tr>
      <w:tr>
        <w:trPr/>
        <w:tc>
          <w:tcPr>
            <w:tcW w:w="3447" w:type="dxa"/>
            <w:gridSpan w:val="2"/>
            <w:tcBorders/>
            <w:tcMar>
              <w:top w:w="0" w:type="dxa"/>
              <w:left w:w="0" w:type="dxa"/>
              <w:bottom w:w="0" w:type="dxa"/>
              <w:right w:w="0" w:type="dxa"/>
            </w:tcMar>
            <w:vAlign w:val="center"/>
          </w:tcPr>
          <w:p>
            <w:pPr>
              <w:pStyle w:val="TableContents"/>
              <w:bidi w:val="0"/>
              <w:spacing w:before="0" w:after="0"/>
              <w:jc w:val="left"/>
              <w:rPr/>
            </w:pPr>
            <w:r>
              <w:rPr/>
              <w:t xml:space="preserve">Thomas Eastling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0"/>
              <w:jc w:val="left"/>
              <w:rPr/>
            </w:pPr>
            <w:r>
              <w:rPr/>
              <w:t>(</w:t>
            </w:r>
            <w:r>
              <w:rPr>
                <w:i/>
              </w:rPr>
              <w:t>Principal Financial and Accounting Officer</w:t>
            </w:r>
            <w:r>
              <w:rPr/>
              <w:t xml:space="preserve">) </w:t>
            </w:r>
          </w:p>
        </w:tc>
      </w:tr>
      <w:tr>
        <w:trPr/>
        <w:tc>
          <w:tcPr>
            <w:tcW w:w="3447" w:type="dxa"/>
            <w:gridSpan w:val="2"/>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Yue Xiong, Ph.D.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restart"/>
            <w:tcBorders/>
            <w:tcMar>
              <w:top w:w="0" w:type="dxa"/>
              <w:left w:w="0" w:type="dxa"/>
              <w:bottom w:w="0" w:type="dxa"/>
              <w:right w:w="0" w:type="dxa"/>
            </w:tcMar>
            <w:vAlign w:val="center"/>
          </w:tcPr>
          <w:p>
            <w:pPr>
              <w:pStyle w:val="TableContents"/>
              <w:bidi w:val="0"/>
              <w:spacing w:before="0" w:after="0"/>
              <w:jc w:val="left"/>
              <w:rPr/>
            </w:pPr>
            <w:r>
              <w:rPr/>
              <w:t> </w:t>
            </w:r>
          </w:p>
          <w:p>
            <w:pPr>
              <w:pStyle w:val="TableContents"/>
              <w:bidi w:val="0"/>
              <w:spacing w:before="0" w:after="0"/>
              <w:jc w:val="left"/>
              <w:rPr/>
            </w:pPr>
            <w:r>
              <w:rPr/>
              <w:t>Chief Scientific Officer and Director</w:t>
            </w:r>
          </w:p>
        </w:tc>
      </w:tr>
      <w:tr>
        <w:trPr/>
        <w:tc>
          <w:tcPr>
            <w:tcW w:w="3447" w:type="dxa"/>
            <w:gridSpan w:val="2"/>
            <w:tcBorders/>
            <w:tcMar>
              <w:top w:w="0" w:type="dxa"/>
              <w:left w:w="0" w:type="dxa"/>
              <w:bottom w:w="0" w:type="dxa"/>
              <w:right w:w="0" w:type="dxa"/>
            </w:tcMar>
            <w:vAlign w:val="center"/>
          </w:tcPr>
          <w:p>
            <w:pPr>
              <w:pStyle w:val="TableContents"/>
              <w:bidi w:val="0"/>
              <w:spacing w:before="0" w:after="0"/>
              <w:jc w:val="left"/>
              <w:rPr/>
            </w:pPr>
            <w:r>
              <w:rPr/>
              <w:t xml:space="preserve">Yue Xiong, Ph.D.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continue"/>
            <w:tcBorders/>
            <w:tcMar>
              <w:top w:w="0" w:type="dxa"/>
              <w:left w:w="0" w:type="dxa"/>
              <w:bottom w:w="0" w:type="dxa"/>
              <w:right w:w="0" w:type="dxa"/>
            </w:tcMar>
            <w:vAlign w:val="center"/>
          </w:tcPr>
          <w:p>
            <w:pPr>
              <w:pStyle w:val="Normal"/>
              <w:bidi w:val="0"/>
              <w:jc w:val="left"/>
              <w:rPr/>
            </w:pPr>
            <w:r>
              <w:rPr/>
            </w:r>
          </w:p>
        </w:tc>
      </w:tr>
      <w:tr>
        <w:trPr/>
        <w:tc>
          <w:tcPr>
            <w:tcW w:w="34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Ping Zhang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restart"/>
            <w:tcBorders/>
            <w:tcMar>
              <w:top w:w="0" w:type="dxa"/>
              <w:left w:w="0" w:type="dxa"/>
              <w:bottom w:w="0" w:type="dxa"/>
              <w:right w:w="0" w:type="dxa"/>
            </w:tcMar>
            <w:vAlign w:val="center"/>
          </w:tcPr>
          <w:p>
            <w:pPr>
              <w:pStyle w:val="TableContents"/>
              <w:bidi w:val="0"/>
              <w:spacing w:before="0" w:after="0"/>
              <w:jc w:val="left"/>
              <w:rPr/>
            </w:pPr>
            <w:r>
              <w:rPr/>
              <w:t xml:space="preserve">Executive Chairman </w:t>
            </w:r>
          </w:p>
        </w:tc>
      </w:tr>
      <w:tr>
        <w:trPr/>
        <w:tc>
          <w:tcPr>
            <w:tcW w:w="3447" w:type="dxa"/>
            <w:gridSpan w:val="2"/>
            <w:tcBorders/>
            <w:tcMar>
              <w:top w:w="0" w:type="dxa"/>
              <w:left w:w="0" w:type="dxa"/>
              <w:bottom w:w="0" w:type="dxa"/>
              <w:right w:w="0" w:type="dxa"/>
            </w:tcMar>
            <w:vAlign w:val="center"/>
          </w:tcPr>
          <w:p>
            <w:pPr>
              <w:pStyle w:val="TableContents"/>
              <w:bidi w:val="0"/>
              <w:spacing w:before="0" w:after="0"/>
              <w:jc w:val="left"/>
              <w:rPr/>
            </w:pPr>
            <w:r>
              <w:rPr/>
              <w:t xml:space="preserve">Ping Zhang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continue"/>
            <w:tcBorders/>
            <w:tcMar>
              <w:top w:w="0" w:type="dxa"/>
              <w:left w:w="0" w:type="dxa"/>
              <w:bottom w:w="0" w:type="dxa"/>
              <w:right w:w="0" w:type="dxa"/>
            </w:tcMar>
            <w:vAlign w:val="center"/>
          </w:tcPr>
          <w:p>
            <w:pPr>
              <w:pStyle w:val="Normal"/>
              <w:bidi w:val="0"/>
              <w:jc w:val="left"/>
              <w:rPr/>
            </w:pPr>
            <w:r>
              <w:rPr/>
            </w:r>
          </w:p>
        </w:tc>
      </w:tr>
      <w:tr>
        <w:trPr/>
        <w:tc>
          <w:tcPr>
            <w:tcW w:w="3447" w:type="dxa"/>
            <w:gridSpan w:val="2"/>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Gordon G. Carmichael, Ph.D.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restart"/>
            <w:tcBorders/>
            <w:tcMar>
              <w:top w:w="0" w:type="dxa"/>
              <w:left w:w="0" w:type="dxa"/>
              <w:bottom w:w="0" w:type="dxa"/>
              <w:right w:w="0" w:type="dxa"/>
            </w:tcMar>
            <w:vAlign w:val="center"/>
          </w:tcPr>
          <w:p>
            <w:pPr>
              <w:pStyle w:val="TableContents"/>
              <w:bidi w:val="0"/>
              <w:spacing w:before="0" w:after="0"/>
              <w:jc w:val="left"/>
              <w:rPr/>
            </w:pPr>
            <w:r>
              <w:rPr/>
              <w:t xml:space="preserve">Director </w:t>
            </w:r>
          </w:p>
        </w:tc>
      </w:tr>
      <w:tr>
        <w:trPr/>
        <w:tc>
          <w:tcPr>
            <w:tcW w:w="3447" w:type="dxa"/>
            <w:gridSpan w:val="2"/>
            <w:tcBorders/>
            <w:tcMar>
              <w:top w:w="0" w:type="dxa"/>
              <w:left w:w="0" w:type="dxa"/>
              <w:bottom w:w="0" w:type="dxa"/>
              <w:right w:w="0" w:type="dxa"/>
            </w:tcMar>
            <w:vAlign w:val="center"/>
          </w:tcPr>
          <w:p>
            <w:pPr>
              <w:pStyle w:val="TableContents"/>
              <w:bidi w:val="0"/>
              <w:spacing w:before="0" w:after="0"/>
              <w:jc w:val="left"/>
              <w:rPr/>
            </w:pPr>
            <w:r>
              <w:rPr/>
              <w:t xml:space="preserve">Gordon G. Carmichael, Ph.D.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continue"/>
            <w:tcBorders/>
            <w:tcMar>
              <w:top w:w="0" w:type="dxa"/>
              <w:left w:w="0" w:type="dxa"/>
              <w:bottom w:w="0" w:type="dxa"/>
              <w:right w:w="0" w:type="dxa"/>
            </w:tcMar>
            <w:vAlign w:val="center"/>
          </w:tcPr>
          <w:p>
            <w:pPr>
              <w:pStyle w:val="Normal"/>
              <w:bidi w:val="0"/>
              <w:jc w:val="left"/>
              <w:rPr/>
            </w:pPr>
            <w:r>
              <w:rPr/>
            </w:r>
          </w:p>
        </w:tc>
      </w:tr>
      <w:tr>
        <w:trPr/>
        <w:tc>
          <w:tcPr>
            <w:tcW w:w="344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11" w:type="dxa"/>
            <w:tcBorders/>
          </w:tcPr>
          <w:p>
            <w:pPr>
              <w:pStyle w:val="TableContents"/>
              <w:bidi w:val="0"/>
              <w:spacing w:before="0" w:after="283"/>
              <w:jc w:val="left"/>
              <w:rPr>
                <w:sz w:val="4"/>
                <w:szCs w:val="4"/>
              </w:rPr>
            </w:pPr>
            <w:r>
              <w:rPr>
                <w:sz w:val="4"/>
                <w:szCs w:val="4"/>
              </w:rPr>
            </w:r>
          </w:p>
        </w:tc>
      </w:tr>
      <w:tr>
        <w:trPr/>
        <w:tc>
          <w:tcPr>
            <w:tcW w:w="3447" w:type="dxa"/>
            <w:gridSpan w:val="2"/>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Maxwell Kirkby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restart"/>
            <w:tcBorders/>
            <w:tcMar>
              <w:top w:w="0" w:type="dxa"/>
              <w:left w:w="0" w:type="dxa"/>
              <w:bottom w:w="0" w:type="dxa"/>
              <w:right w:w="0" w:type="dxa"/>
            </w:tcMar>
            <w:vAlign w:val="center"/>
          </w:tcPr>
          <w:p>
            <w:pPr>
              <w:pStyle w:val="TableContents"/>
              <w:bidi w:val="0"/>
              <w:spacing w:before="0" w:after="0"/>
              <w:jc w:val="left"/>
              <w:rPr/>
            </w:pPr>
            <w:r>
              <w:rPr/>
              <w:t xml:space="preserve">Director </w:t>
            </w:r>
          </w:p>
        </w:tc>
      </w:tr>
      <w:tr>
        <w:trPr/>
        <w:tc>
          <w:tcPr>
            <w:tcW w:w="3447" w:type="dxa"/>
            <w:gridSpan w:val="2"/>
            <w:tcBorders/>
            <w:tcMar>
              <w:top w:w="0" w:type="dxa"/>
              <w:left w:w="0" w:type="dxa"/>
              <w:bottom w:w="0" w:type="dxa"/>
              <w:right w:w="0" w:type="dxa"/>
            </w:tcMar>
            <w:vAlign w:val="center"/>
          </w:tcPr>
          <w:p>
            <w:pPr>
              <w:pStyle w:val="TableContents"/>
              <w:bidi w:val="0"/>
              <w:spacing w:before="0" w:after="0"/>
              <w:jc w:val="left"/>
              <w:rPr/>
            </w:pPr>
            <w:r>
              <w:rPr/>
              <w:t xml:space="preserve">Maxwell Kirkby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continue"/>
            <w:tcBorders/>
            <w:tcMar>
              <w:top w:w="0" w:type="dxa"/>
              <w:left w:w="0" w:type="dxa"/>
              <w:bottom w:w="0" w:type="dxa"/>
              <w:right w:w="0" w:type="dxa"/>
            </w:tcMar>
            <w:vAlign w:val="center"/>
          </w:tcPr>
          <w:p>
            <w:pPr>
              <w:pStyle w:val="Normal"/>
              <w:bidi w:val="0"/>
              <w:jc w:val="left"/>
              <w:rPr/>
            </w:pPr>
            <w:r>
              <w:rPr/>
            </w:r>
          </w:p>
        </w:tc>
      </w:tr>
      <w:tr>
        <w:trPr/>
        <w:tc>
          <w:tcPr>
            <w:tcW w:w="3447" w:type="dxa"/>
            <w:gridSpan w:val="2"/>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Rodney L. Nussbaum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restart"/>
            <w:tcBorders/>
            <w:tcMar>
              <w:top w:w="0" w:type="dxa"/>
              <w:left w:w="0" w:type="dxa"/>
              <w:bottom w:w="0" w:type="dxa"/>
              <w:right w:w="0" w:type="dxa"/>
            </w:tcMar>
            <w:vAlign w:val="center"/>
          </w:tcPr>
          <w:p>
            <w:pPr>
              <w:pStyle w:val="TableContents"/>
              <w:bidi w:val="0"/>
              <w:spacing w:before="0" w:after="0"/>
              <w:jc w:val="left"/>
              <w:rPr>
                <w:sz w:val="18"/>
              </w:rPr>
            </w:pPr>
            <w:r>
              <w:rPr>
                <w:sz w:val="18"/>
              </w:rPr>
              <w:t xml:space="preserve">Director </w:t>
            </w:r>
          </w:p>
        </w:tc>
      </w:tr>
      <w:tr>
        <w:trPr/>
        <w:tc>
          <w:tcPr>
            <w:tcW w:w="3447" w:type="dxa"/>
            <w:gridSpan w:val="2"/>
            <w:tcBorders/>
            <w:tcMar>
              <w:top w:w="0" w:type="dxa"/>
              <w:left w:w="0" w:type="dxa"/>
              <w:bottom w:w="0" w:type="dxa"/>
              <w:right w:w="0" w:type="dxa"/>
            </w:tcMar>
            <w:vAlign w:val="center"/>
          </w:tcPr>
          <w:p>
            <w:pPr>
              <w:pStyle w:val="TableContents"/>
              <w:bidi w:val="0"/>
              <w:spacing w:before="0" w:after="0"/>
              <w:jc w:val="left"/>
              <w:rPr/>
            </w:pPr>
            <w:r>
              <w:rPr/>
              <w:t xml:space="preserve">Rodney L. Nussbaum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continue"/>
            <w:tcBorders/>
            <w:tcMar>
              <w:top w:w="0" w:type="dxa"/>
              <w:left w:w="0" w:type="dxa"/>
              <w:bottom w:w="0" w:type="dxa"/>
              <w:right w:w="0" w:type="dxa"/>
            </w:tcMar>
            <w:vAlign w:val="center"/>
          </w:tcPr>
          <w:p>
            <w:pPr>
              <w:pStyle w:val="Normal"/>
              <w:bidi w:val="0"/>
              <w:jc w:val="left"/>
              <w:rPr/>
            </w:pPr>
            <w:r>
              <w:rPr/>
            </w:r>
          </w:p>
        </w:tc>
      </w:tr>
      <w:tr>
        <w:trPr/>
        <w:tc>
          <w:tcPr>
            <w:tcW w:w="3447" w:type="dxa"/>
            <w:gridSpan w:val="2"/>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Renate Parry, Ph.D.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restart"/>
            <w:tcBorders/>
            <w:tcMar>
              <w:top w:w="0" w:type="dxa"/>
              <w:left w:w="0" w:type="dxa"/>
              <w:bottom w:w="0" w:type="dxa"/>
              <w:right w:w="0" w:type="dxa"/>
            </w:tcMar>
            <w:vAlign w:val="center"/>
          </w:tcPr>
          <w:p>
            <w:pPr>
              <w:pStyle w:val="TableContents"/>
              <w:bidi w:val="0"/>
              <w:spacing w:before="0" w:after="0"/>
              <w:jc w:val="left"/>
              <w:rPr/>
            </w:pPr>
            <w:r>
              <w:rPr/>
              <w:t xml:space="preserve">Director </w:t>
            </w:r>
          </w:p>
        </w:tc>
      </w:tr>
      <w:tr>
        <w:trPr/>
        <w:tc>
          <w:tcPr>
            <w:tcW w:w="3447" w:type="dxa"/>
            <w:gridSpan w:val="2"/>
            <w:tcBorders/>
            <w:vAlign w:val="center"/>
          </w:tcPr>
          <w:p>
            <w:pPr>
              <w:pStyle w:val="TableContents"/>
              <w:bidi w:val="0"/>
              <w:spacing w:before="0" w:after="0"/>
              <w:jc w:val="left"/>
              <w:rPr/>
            </w:pPr>
            <w:r>
              <w:rPr/>
              <w:t xml:space="preserve">Renate Parry, Ph.D.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continue"/>
            <w:tcBorders/>
            <w:tcMar>
              <w:top w:w="0" w:type="dxa"/>
              <w:left w:w="0" w:type="dxa"/>
              <w:bottom w:w="0" w:type="dxa"/>
              <w:right w:w="0" w:type="dxa"/>
            </w:tcMar>
            <w:vAlign w:val="center"/>
          </w:tcPr>
          <w:p>
            <w:pPr>
              <w:pStyle w:val="Normal"/>
              <w:bidi w:val="0"/>
              <w:jc w:val="left"/>
              <w:rPr/>
            </w:pPr>
            <w:r>
              <w:rPr/>
            </w:r>
          </w:p>
        </w:tc>
      </w:tr>
      <w:tr>
        <w:trPr/>
        <w:tc>
          <w:tcPr>
            <w:tcW w:w="3447" w:type="dxa"/>
            <w:gridSpan w:val="2"/>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Dan Weng, M.D.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restart"/>
            <w:tcBorders/>
            <w:tcMar>
              <w:top w:w="0" w:type="dxa"/>
              <w:left w:w="0" w:type="dxa"/>
              <w:bottom w:w="0" w:type="dxa"/>
              <w:right w:w="0" w:type="dxa"/>
            </w:tcMar>
            <w:vAlign w:val="center"/>
          </w:tcPr>
          <w:p>
            <w:pPr>
              <w:pStyle w:val="TableContents"/>
              <w:bidi w:val="0"/>
              <w:spacing w:before="0" w:after="0"/>
              <w:jc w:val="left"/>
              <w:rPr/>
            </w:pPr>
            <w:r>
              <w:rPr/>
              <w:t xml:space="preserve">Director </w:t>
            </w:r>
          </w:p>
        </w:tc>
      </w:tr>
      <w:tr>
        <w:trPr/>
        <w:tc>
          <w:tcPr>
            <w:tcW w:w="3447" w:type="dxa"/>
            <w:gridSpan w:val="2"/>
            <w:tcBorders/>
            <w:vAlign w:val="center"/>
          </w:tcPr>
          <w:p>
            <w:pPr>
              <w:pStyle w:val="TableContents"/>
              <w:bidi w:val="0"/>
              <w:spacing w:before="0" w:after="0"/>
              <w:jc w:val="left"/>
              <w:rPr/>
            </w:pPr>
            <w:r>
              <w:rPr/>
              <w:t xml:space="preserve">Dan Weng, M.D.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continue"/>
            <w:tcBorders/>
            <w:tcMar>
              <w:top w:w="0" w:type="dxa"/>
              <w:left w:w="0" w:type="dxa"/>
              <w:bottom w:w="0" w:type="dxa"/>
              <w:right w:w="0" w:type="dxa"/>
            </w:tcMar>
            <w:vAlign w:val="center"/>
          </w:tcPr>
          <w:p>
            <w:pPr>
              <w:pStyle w:val="Normal"/>
              <w:bidi w:val="0"/>
              <w:jc w:val="left"/>
              <w:rPr/>
            </w:pPr>
            <w:r>
              <w:rPr/>
            </w:r>
          </w:p>
        </w:tc>
      </w:tr>
      <w:tr>
        <w:trPr/>
        <w:tc>
          <w:tcPr>
            <w:tcW w:w="3447" w:type="dxa"/>
            <w:gridSpan w:val="2"/>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vAlign w:val="center"/>
          </w:tcPr>
          <w:p>
            <w:pPr>
              <w:pStyle w:val="TableContents"/>
              <w:bidi w:val="0"/>
              <w:spacing w:before="0" w:after="283"/>
              <w:jc w:val="left"/>
              <w:rPr/>
            </w:pPr>
            <w:r>
              <w:rPr/>
              <w:t> </w:t>
            </w:r>
          </w:p>
        </w:tc>
      </w:tr>
      <w:tr>
        <w:trPr/>
        <w:tc>
          <w:tcPr>
            <w:tcW w:w="33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/s/ Claire Weston,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restart"/>
            <w:tcBorders/>
            <w:vAlign w:val="center"/>
          </w:tcPr>
          <w:p>
            <w:pPr>
              <w:pStyle w:val="TableContents"/>
              <w:bidi w:val="0"/>
              <w:spacing w:before="0" w:after="283"/>
              <w:jc w:val="left"/>
              <w:rPr/>
            </w:pPr>
            <w:r>
              <w:rPr/>
              <w:t>Director</w:t>
            </w:r>
          </w:p>
        </w:tc>
      </w:tr>
      <w:tr>
        <w:trPr/>
        <w:tc>
          <w:tcPr>
            <w:tcW w:w="3447" w:type="dxa"/>
            <w:gridSpan w:val="2"/>
            <w:tcBorders/>
            <w:vAlign w:val="center"/>
          </w:tcPr>
          <w:p>
            <w:pPr>
              <w:pStyle w:val="TableContents"/>
              <w:bidi w:val="0"/>
              <w:spacing w:before="0" w:after="0"/>
              <w:jc w:val="left"/>
              <w:rPr/>
            </w:pPr>
            <w:r>
              <w:rPr/>
              <w:t xml:space="preserve">Claire Weston, Ph.D.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vMerge w:val="continue"/>
            <w:tcBorders/>
            <w:vAlign w:val="center"/>
          </w:tcPr>
          <w:p>
            <w:pPr>
              <w:pStyle w:val="Normal"/>
              <w:bidi w:val="0"/>
              <w:jc w:val="left"/>
              <w:rPr/>
            </w:pPr>
            <w:r>
              <w:rPr/>
            </w:r>
          </w:p>
        </w:tc>
      </w:tr>
    </w:tbl>
    <w:p>
      <w:pPr>
        <w:pStyle w:val="TextBody"/>
        <w:bidi w:val="0"/>
        <w:spacing w:before="0" w:after="0"/>
        <w:jc w:val="left"/>
        <w:rPr/>
      </w:pPr>
      <w:r>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3" w:name="ef20081105_ex5-1.htm"/>
      <w:bookmarkStart w:id="4" w:name="ksef20081105_ex51"/>
      <w:bookmarkStart w:id="5" w:name="ef20081105_ex5-1.htm"/>
      <w:bookmarkStart w:id="6" w:name="ksef20081105_ex51"/>
      <w:bookmarkEnd w:id="5"/>
      <w:bookmarkEnd w:id="6"/>
      <w:r>
        <w:br w:type="page"/>
      </w:r>
    </w:p>
    <w:p>
      <w:pPr>
        <w:pStyle w:val="TextBody"/>
        <w:bidi w:val="0"/>
        <w:spacing w:before="0" w:after="0"/>
        <w:jc w:val="right"/>
        <w:rPr>
          <w:b/>
          <w:spacing w:val="0"/>
        </w:rPr>
      </w:pPr>
      <w:r>
        <w:rPr>
          <w:b/>
          <w:spacing w:val="0"/>
        </w:rPr>
        <w:t>Exhibit 5.1</w:t>
      </w:r>
    </w:p>
    <w:p>
      <w:pPr>
        <w:pStyle w:val="TextBody"/>
        <w:bidi w:val="0"/>
        <w:spacing w:before="0" w:after="0"/>
        <w:jc w:val="left"/>
        <w:rPr/>
      </w:pPr>
      <w:r>
        <w:rPr/>
        <w:t> </w:t>
      </w:r>
    </w:p>
    <w:p>
      <w:pPr>
        <w:pStyle w:val="TextBody"/>
        <w:bidi w:val="0"/>
        <w:spacing w:before="0" w:after="0"/>
        <w:jc w:val="left"/>
        <w:rPr/>
      </w:pPr>
      <w:r>
        <w:rPr/>
        <w:t> </w:t>
      </w:r>
      <w:r>
        <w:rPr/>
        <w:drawing>
          <wp:inline distT="0" distB="0" distL="0" distR="0">
            <wp:extent cx="1809750" cy="2571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15"/>
                    <a:stretch>
                      <a:fillRect/>
                    </a:stretch>
                  </pic:blipFill>
                  <pic:spPr bwMode="auto">
                    <a:xfrm>
                      <a:off x="0" y="0"/>
                      <a:ext cx="1809750" cy="25717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left"/>
        <w:rPr>
          <w:color w:val="000000"/>
          <w:sz w:val="20"/>
        </w:rPr>
      </w:pPr>
      <w:r>
        <w:rPr>
          <w:color w:val="000000"/>
          <w:sz w:val="20"/>
        </w:rPr>
        <w:t>August 27, 2026</w:t>
      </w:r>
    </w:p>
    <w:p>
      <w:pPr>
        <w:pStyle w:val="TextBody"/>
        <w:bidi w:val="0"/>
        <w:spacing w:before="0" w:after="0"/>
        <w:jc w:val="left"/>
        <w:rPr/>
      </w:pPr>
      <w:r>
        <w:rPr/>
        <w:t> </w:t>
      </w:r>
    </w:p>
    <w:p>
      <w:pPr>
        <w:pStyle w:val="TextBody"/>
        <w:bidi w:val="0"/>
        <w:spacing w:before="0" w:after="0"/>
        <w:jc w:val="left"/>
        <w:rPr>
          <w:sz w:val="20"/>
        </w:rPr>
      </w:pPr>
      <w:r>
        <w:rPr>
          <w:color w:val="000000"/>
          <w:sz w:val="20"/>
        </w:rPr>
        <w:t>Gyre Therapeutics, Inc.</w:t>
      </w:r>
      <w:r>
        <w:rPr>
          <w:sz w:val="20"/>
        </w:rPr>
        <w:t xml:space="preserve"> </w:t>
      </w:r>
    </w:p>
    <w:p>
      <w:pPr>
        <w:pStyle w:val="TextBody"/>
        <w:bidi w:val="0"/>
        <w:spacing w:before="0" w:after="0"/>
        <w:jc w:val="left"/>
        <w:rPr>
          <w:sz w:val="20"/>
        </w:rPr>
      </w:pPr>
      <w:r>
        <w:rPr>
          <w:color w:val="000000"/>
          <w:sz w:val="20"/>
        </w:rPr>
        <w:t>12730 High Bluff Drive, Suite 250</w:t>
      </w:r>
      <w:r>
        <w:rPr>
          <w:sz w:val="20"/>
        </w:rPr>
        <w:t xml:space="preserve"> </w:t>
      </w:r>
    </w:p>
    <w:p>
      <w:pPr>
        <w:pStyle w:val="TextBody"/>
        <w:bidi w:val="0"/>
        <w:spacing w:before="0" w:after="0"/>
        <w:jc w:val="left"/>
        <w:rPr>
          <w:sz w:val="20"/>
        </w:rPr>
      </w:pPr>
      <w:r>
        <w:rPr>
          <w:color w:val="000000"/>
          <w:sz w:val="20"/>
        </w:rPr>
        <w:t>San Diego, California 92130</w:t>
      </w:r>
      <w:r>
        <w:rPr>
          <w:sz w:val="20"/>
        </w:rPr>
        <w:t xml:space="preserve"> </w:t>
      </w:r>
    </w:p>
    <w:p>
      <w:pPr>
        <w:pStyle w:val="TextBody"/>
        <w:bidi w:val="0"/>
        <w:spacing w:before="0" w:after="0"/>
        <w:ind w:left="151" w:right="0" w:hanging="0"/>
        <w:jc w:val="left"/>
        <w:rPr/>
      </w:pPr>
      <w:r>
        <w:rPr/>
        <w:t xml:space="preserve">  </w:t>
      </w:r>
    </w:p>
    <w:p>
      <w:pPr>
        <w:pStyle w:val="TextBody"/>
        <w:bidi w:val="0"/>
        <w:spacing w:before="0" w:after="0"/>
        <w:ind w:left="0" w:right="0" w:hanging="540"/>
        <w:jc w:val="left"/>
        <w:rPr>
          <w:sz w:val="20"/>
        </w:rPr>
      </w:pPr>
      <w:r>
        <w:rPr>
          <w:color w:val="000000"/>
          <w:sz w:val="20"/>
        </w:rPr>
        <w:t>Gyre Therapeutics, Inc.</w:t>
      </w:r>
      <w:r>
        <w:rPr>
          <w:sz w:val="20"/>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42900" cy="146685"/>
                <wp:effectExtent l="0" t="0" r="0" b="0"/>
                <wp:wrapSquare wrapText="right"/>
                <wp:docPr id="3" name="Frame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sz w:val="20"/>
                              </w:rPr>
                            </w:pPr>
                            <w:r>
                              <w:rPr>
                                <w:color w:val="000000"/>
                                <w:sz w:val="20"/>
                              </w:rPr>
                              <w:t>Re:</w:t>
                            </w:r>
                            <w:r>
                              <w:rPr>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Re:</w:t>
                      </w:r>
                      <w:r>
                        <w:rPr>
                          <w:sz w:val="20"/>
                        </w:rPr>
                        <w:t xml:space="preserve"> </w:t>
                      </w:r>
                    </w:p>
                  </w:txbxContent>
                </v:textbox>
                <w10:wrap type="square" side="right"/>
              </v:rect>
            </w:pict>
          </mc:Fallback>
        </mc:AlternateContent>
      </w:r>
    </w:p>
    <w:p>
      <w:pPr>
        <w:pStyle w:val="TextBody"/>
        <w:bidi w:val="0"/>
        <w:spacing w:before="0" w:after="0"/>
        <w:ind w:left="540" w:right="0" w:hanging="0"/>
        <w:jc w:val="left"/>
        <w:rPr>
          <w:sz w:val="20"/>
        </w:rPr>
      </w:pPr>
      <w:r>
        <w:rPr>
          <w:color w:val="000000"/>
          <w:sz w:val="20"/>
        </w:rPr>
        <w:t>Registration Statement on Form S-8</w:t>
      </w:r>
      <w:r>
        <w:rPr>
          <w:sz w:val="20"/>
        </w:rPr>
        <w:t xml:space="preserve"> </w:t>
      </w:r>
    </w:p>
    <w:p>
      <w:pPr>
        <w:pStyle w:val="TextBody"/>
        <w:bidi w:val="0"/>
        <w:spacing w:before="0" w:after="0"/>
        <w:jc w:val="left"/>
        <w:rPr/>
      </w:pPr>
      <w:r>
        <w:rPr/>
        <w:t xml:space="preserve">  </w:t>
      </w:r>
    </w:p>
    <w:p>
      <w:pPr>
        <w:pStyle w:val="TextBody"/>
        <w:bidi w:val="0"/>
        <w:spacing w:before="0" w:after="0"/>
        <w:ind w:left="151" w:right="0" w:hanging="0"/>
        <w:jc w:val="left"/>
        <w:rPr>
          <w:sz w:val="20"/>
        </w:rPr>
      </w:pPr>
      <w:r>
        <w:rPr>
          <w:color w:val="000000"/>
          <w:sz w:val="20"/>
        </w:rPr>
        <w:t>Ladies and Gentlemen:</w:t>
      </w:r>
      <w:r>
        <w:rPr>
          <w:sz w:val="20"/>
        </w:rPr>
        <w:t xml:space="preserve"> </w:t>
      </w:r>
    </w:p>
    <w:p>
      <w:pPr>
        <w:pStyle w:val="TextBody"/>
        <w:bidi w:val="0"/>
        <w:spacing w:before="0" w:after="0"/>
        <w:ind w:left="151" w:right="0" w:hanging="0"/>
        <w:jc w:val="left"/>
        <w:rPr/>
      </w:pPr>
      <w:r>
        <w:rPr/>
        <w:t xml:space="preserve">  </w:t>
      </w:r>
    </w:p>
    <w:p>
      <w:pPr>
        <w:pStyle w:val="TextBody"/>
        <w:bidi w:val="0"/>
        <w:spacing w:before="0" w:after="0"/>
        <w:ind w:left="0" w:right="0" w:firstLine="540"/>
        <w:jc w:val="both"/>
        <w:rPr>
          <w:sz w:val="20"/>
        </w:rPr>
      </w:pPr>
      <w:r>
        <w:rPr>
          <w:color w:val="000000"/>
          <w:sz w:val="20"/>
        </w:rPr>
        <w:t>We have examined the Registration Statement on Form S-8 (the “Registration Statement”) of Gyre Therapeutics, Inc., a Delaware corporation (the “Company”), to be filed with the Securities and Exchange Commission (the “Commission”) pursuant to the Securities Act of 1933, as amended (the “Securities Act”), in connection with the offering by the Company of up to an additional 4,565,700 shares of the Company’s common stock, par value $0.001 per share (the “Common Stock”), under the Gyre Therapeutics, Inc. 2023 Omnibus Incentive Plan (the “Plan”).</w:t>
      </w:r>
      <w:r>
        <w:rPr>
          <w:sz w:val="20"/>
        </w:rPr>
        <w:t xml:space="preserve"> </w:t>
      </w:r>
    </w:p>
    <w:p>
      <w:pPr>
        <w:pStyle w:val="TextBody"/>
        <w:bidi w:val="0"/>
        <w:spacing w:before="0" w:after="0"/>
        <w:jc w:val="both"/>
        <w:rPr/>
      </w:pPr>
      <w:r>
        <w:rPr/>
        <w:t xml:space="preserve">  </w:t>
      </w:r>
    </w:p>
    <w:p>
      <w:pPr>
        <w:pStyle w:val="TextBody"/>
        <w:bidi w:val="0"/>
        <w:spacing w:before="0" w:after="0"/>
        <w:ind w:left="0" w:right="0" w:firstLine="540"/>
        <w:jc w:val="both"/>
        <w:rPr>
          <w:sz w:val="20"/>
        </w:rPr>
      </w:pPr>
      <w:r>
        <w:rPr>
          <w:color w:val="000000"/>
          <w:sz w:val="20"/>
        </w:rPr>
        <w:t>We have examined the originals, or photostatic or certified copies, of such records of the Company and certificates of officers of the Company and of public officials and such other documents as we have deemed relevant and necessary as the basis for the opinions set forth below. In our examination, we have assumed the genuineness of all signatures, the legal capacity and competency of all natural persons, the authenticity of all documents submitted to us as originals and the conformity to original documents of all documents submitted to us as copies. We have also assumed that there are no agreements or understandings between or among the Company and any participants in the Plan that would expand, modify or otherwise affect the terms of the Plan or the respective rights or obligations of the participants thereunder. Finally, we have assumed the accuracy of all other information provided to us by the Company during the course of our investigations, on which we have relied in issuing the opinion expressed below.</w:t>
      </w:r>
      <w:r>
        <w:rPr>
          <w:sz w:val="20"/>
        </w:rPr>
        <w:t xml:space="preserve"> </w:t>
      </w:r>
    </w:p>
    <w:p>
      <w:pPr>
        <w:pStyle w:val="TextBody"/>
        <w:bidi w:val="0"/>
        <w:spacing w:before="0" w:after="0"/>
        <w:jc w:val="both"/>
        <w:rPr/>
      </w:pPr>
      <w:r>
        <w:rPr/>
        <w:t xml:space="preserve">  </w:t>
      </w:r>
    </w:p>
    <w:p>
      <w:pPr>
        <w:pStyle w:val="TextBody"/>
        <w:bidi w:val="0"/>
        <w:spacing w:before="0" w:after="0"/>
        <w:ind w:left="0" w:right="0" w:firstLine="540"/>
        <w:jc w:val="both"/>
        <w:rPr>
          <w:sz w:val="20"/>
        </w:rPr>
      </w:pPr>
      <w:r>
        <w:rPr>
          <w:color w:val="000000"/>
          <w:sz w:val="20"/>
        </w:rPr>
        <w:t>Based upon the foregoing examination and in reliance thereon, and subject to the qualifications, assumptions and limitations stated herein and in reliance on the statements of fact contained in the documents that we have examined, we are of the opinion that the Common Stock, when issued and sold in accordance with the terms set forth in the Plan, as applicable, and against payment therefor in accordance with the terms of the form of agreement documenting the awards under which the Common Stock may be issued, and when the Registration Statement has become effective under the Securities Act, will be validly issued, fully paid and non-assessable.</w:t>
      </w:r>
      <w:r>
        <w:rPr>
          <w:sz w:val="20"/>
        </w:rPr>
        <w:t xml:space="preserve"> </w:t>
      </w:r>
    </w:p>
    <w:p>
      <w:pPr>
        <w:pStyle w:val="TextBody"/>
        <w:bidi w:val="0"/>
        <w:spacing w:before="0" w:after="0"/>
        <w:jc w:val="both"/>
        <w:rPr/>
      </w:pPr>
      <w:r>
        <w:rPr/>
        <w:t xml:space="preserve">  </w:t>
      </w:r>
    </w:p>
    <w:p>
      <w:pPr>
        <w:pStyle w:val="TextBody"/>
        <w:bidi w:val="0"/>
        <w:spacing w:before="0" w:after="0"/>
        <w:ind w:left="0" w:right="0" w:firstLine="540"/>
        <w:jc w:val="both"/>
        <w:rPr>
          <w:sz w:val="20"/>
        </w:rPr>
      </w:pPr>
      <w:r>
        <w:rPr>
          <w:color w:val="000000"/>
          <w:sz w:val="20"/>
        </w:rPr>
        <w:t>We render no opinion herein as to matters involving the laws of any jurisdiction other than the Delaware General Corporation Law (the “DGCL”). This opinion is limited to the effect of the current state of the DGCL and the facts as they currently exist. We assume no obligation to revise or supplement this opinion in the event of future changes in such laws or the interpretations thereof or such facts. We express no opinion regarding any state securities laws or regulations.</w:t>
      </w:r>
      <w:r>
        <w:rPr>
          <w:sz w:val="20"/>
        </w:rPr>
        <w:t xml:space="preserve"> </w:t>
      </w:r>
    </w:p>
    <w:p>
      <w:pPr>
        <w:pStyle w:val="TextBody"/>
        <w:bidi w:val="0"/>
        <w:spacing w:before="0" w:after="0"/>
        <w:jc w:val="both"/>
        <w:rPr/>
      </w:pPr>
      <w:r>
        <w:rPr/>
        <w:t xml:space="preserve">  </w:t>
      </w:r>
    </w:p>
    <w:p>
      <w:pPr>
        <w:pStyle w:val="TextBody"/>
        <w:bidi w:val="0"/>
        <w:spacing w:before="0" w:after="0"/>
        <w:ind w:left="0" w:right="0" w:firstLine="540"/>
        <w:jc w:val="both"/>
        <w:rPr>
          <w:sz w:val="20"/>
        </w:rPr>
      </w:pPr>
      <w:r>
        <w:rPr>
          <w:color w:val="000000"/>
          <w:sz w:val="20"/>
        </w:rPr>
        <w:t>We consent to the filing of this opinion as an exhibit to the Registration Statement, and we further consent to the use of our name in the Registration Statement and the prospectus that forms a part thereof. In giving these consents, we do not thereby admit that we are within the category of persons whose consent is required under Section 7 of the Securities Act or the Rules and Regulations of the Commission.</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Very truly yours,</w:t>
      </w:r>
      <w:r>
        <w:rPr>
          <w:sz w:val="20"/>
        </w:rPr>
        <w:t xml:space="preserve"> </w:t>
      </w:r>
    </w:p>
    <w:p>
      <w:pPr>
        <w:pStyle w:val="TextBody"/>
        <w:bidi w:val="0"/>
        <w:spacing w:before="0" w:after="0"/>
        <w:ind w:left="43" w:right="0" w:hanging="0"/>
        <w:jc w:val="left"/>
        <w:rPr/>
      </w:pPr>
      <w:r>
        <w:rPr/>
        <w:t xml:space="preserve">  </w:t>
      </w:r>
    </w:p>
    <w:p>
      <w:pPr>
        <w:pStyle w:val="TextBody"/>
        <w:bidi w:val="0"/>
        <w:spacing w:before="0" w:after="0"/>
        <w:jc w:val="left"/>
        <w:rPr/>
      </w:pPr>
      <w:r>
        <w:rPr>
          <w:color w:val="000000"/>
        </w:rPr>
        <w:t> </w:t>
      </w:r>
      <w:r>
        <w:rPr>
          <w:sz w:val="20"/>
        </w:rPr>
        <w:t xml:space="preserve">/s/ Gibson, Dunn &amp; Crutcher LLP </w:t>
      </w:r>
    </w:p>
    <w:p>
      <w:pPr>
        <w:pStyle w:val="TextBody"/>
        <w:bidi w:val="0"/>
        <w:spacing w:before="0" w:after="0"/>
        <w:jc w:val="left"/>
        <w:rPr/>
      </w:pPr>
      <w:r>
        <w:rPr/>
        <w:t> </w:t>
      </w:r>
    </w:p>
    <w:p>
      <w:pPr>
        <w:pStyle w:val="TextBody"/>
        <w:bidi w:val="0"/>
        <w:spacing w:before="0" w:after="0"/>
        <w:ind w:left="0" w:right="0" w:hanging="0"/>
        <w:jc w:val="left"/>
        <w:rPr>
          <w:b/>
          <w:sz w:val="20"/>
        </w:rPr>
      </w:pPr>
      <w:r>
        <w:rPr>
          <w:b/>
          <w:sz w:val="20"/>
        </w:rPr>
        <w:t>Gibson, Dunn &amp; Crutcher LLP</w:t>
      </w:r>
    </w:p>
    <w:p>
      <w:pPr>
        <w:pStyle w:val="TextBody"/>
        <w:bidi w:val="0"/>
        <w:spacing w:before="0" w:after="0"/>
        <w:ind w:left="0" w:right="0" w:hanging="0"/>
        <w:jc w:val="left"/>
        <w:rPr>
          <w:sz w:val="20"/>
        </w:rPr>
      </w:pPr>
      <w:r>
        <w:rPr>
          <w:sz w:val="20"/>
        </w:rPr>
        <w:t>2000 Avenue of the Stars Suite 1200N  |  Los Angeles, CA 90067-4700  |  T: 310.552.8500  |  F: 310.552.7000  |  gibsondunn.com</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7" w:name="ef20081105_ex23-1.htm"/>
      <w:bookmarkStart w:id="8" w:name="ksef20081105_ex231"/>
      <w:bookmarkStart w:id="9" w:name="ef20081105_ex23-1.htm"/>
      <w:bookmarkStart w:id="10" w:name="ksef20081105_ex231"/>
      <w:bookmarkEnd w:id="9"/>
      <w:bookmarkEnd w:id="10"/>
      <w:r>
        <w:br w:type="page"/>
      </w:r>
    </w:p>
    <w:p>
      <w:pPr>
        <w:pStyle w:val="TextBody"/>
        <w:bidi w:val="0"/>
        <w:spacing w:before="0" w:after="0"/>
        <w:jc w:val="right"/>
        <w:rPr>
          <w:b/>
        </w:rPr>
      </w:pPr>
      <w:r>
        <w:rPr>
          <w:b/>
        </w:rPr>
        <w:t>Exhibit 23.1</w:t>
      </w:r>
    </w:p>
    <w:p>
      <w:pPr>
        <w:pStyle w:val="TextBody"/>
        <w:bidi w:val="0"/>
        <w:spacing w:before="0" w:after="0"/>
        <w:jc w:val="both"/>
        <w:rPr/>
      </w:pPr>
      <w:r>
        <w:rPr/>
        <w:t> </w:t>
      </w:r>
    </w:p>
    <w:p>
      <w:pPr>
        <w:pStyle w:val="TextBody"/>
        <w:bidi w:val="0"/>
        <w:spacing w:before="0" w:after="0"/>
        <w:jc w:val="both"/>
        <w:rPr/>
      </w:pPr>
      <w:r>
        <w:rPr>
          <w:b/>
        </w:rPr>
        <w:t>CONSENT OF INDEPENDENT REGISTERED PUBLIC ACCOUNTING FIRM</w:t>
      </w: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We have issued our reports dated March 13, 2026, with respect to the consolidated financial statements and internal control over financial reporting of Gyre Therapeutics, Inc. included in the Annual Report on Form 10-K for the year ended December 31, 2025, which are incorporated by reference in this Registration Statement. We consent to the incorporation by reference of the aforementioned reports in this Registration Statement. </w:t>
      </w:r>
    </w:p>
    <w:p>
      <w:pPr>
        <w:pStyle w:val="TextBody"/>
        <w:bidi w:val="0"/>
        <w:spacing w:before="0" w:after="0"/>
        <w:jc w:val="both"/>
        <w:rPr/>
      </w:pPr>
      <w:r>
        <w:rPr/>
        <w:t xml:space="preserve">  </w:t>
      </w:r>
    </w:p>
    <w:p>
      <w:pPr>
        <w:pStyle w:val="TextBody"/>
        <w:bidi w:val="0"/>
        <w:spacing w:before="0" w:after="0"/>
        <w:jc w:val="both"/>
        <w:rPr/>
      </w:pPr>
      <w:r>
        <w:rPr/>
        <w:t xml:space="preserve">/s/ Grant Thornton Zhitong Certified Public Accountants LLP </w:t>
      </w:r>
    </w:p>
    <w:p>
      <w:pPr>
        <w:pStyle w:val="TextBody"/>
        <w:bidi w:val="0"/>
        <w:spacing w:before="0" w:after="0"/>
        <w:jc w:val="both"/>
        <w:rPr/>
      </w:pPr>
      <w:r>
        <w:rPr/>
        <w:t xml:space="preserve">  </w:t>
      </w:r>
    </w:p>
    <w:p>
      <w:pPr>
        <w:pStyle w:val="TextBody"/>
        <w:bidi w:val="0"/>
        <w:spacing w:before="0" w:after="0"/>
        <w:jc w:val="both"/>
        <w:rPr/>
      </w:pPr>
      <w:r>
        <w:rPr/>
        <w:t xml:space="preserve">Beijing, China </w:t>
      </w:r>
    </w:p>
    <w:p>
      <w:pPr>
        <w:pStyle w:val="TextBody"/>
        <w:bidi w:val="0"/>
        <w:spacing w:before="0" w:after="0"/>
        <w:jc w:val="both"/>
        <w:rPr/>
      </w:pPr>
      <w:r>
        <w:rPr/>
        <w:t xml:space="preserve">August 27, 2026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11" w:name="ef20081105_ex107.htm"/>
      <w:bookmarkStart w:id="12" w:name="ksef20081105_ex107"/>
      <w:bookmarkStart w:id="13" w:name="ef20081105_ex107.htm"/>
      <w:bookmarkStart w:id="14" w:name="ksef20081105_ex107"/>
      <w:bookmarkEnd w:id="13"/>
      <w:bookmarkEnd w:id="14"/>
      <w:r>
        <w:br w:type="page"/>
      </w:r>
    </w:p>
    <w:p>
      <w:pPr>
        <w:pStyle w:val="TextBody"/>
        <w:bidi w:val="0"/>
        <w:spacing w:before="0" w:after="0"/>
        <w:ind w:left="0" w:right="15" w:hanging="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FORM S-8</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Gyre Therapeutics,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Securities</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1002"/>
        <w:gridCol w:w="1197"/>
        <w:gridCol w:w="1341"/>
        <w:gridCol w:w="1247"/>
        <w:gridCol w:w="1283"/>
        <w:gridCol w:w="1367"/>
        <w:gridCol w:w="1266"/>
        <w:gridCol w:w="1502"/>
      </w:tblGrid>
      <w:tr>
        <w:trPr/>
        <w:tc>
          <w:tcPr>
            <w:tcW w:w="10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left"/>
              <w:rPr/>
            </w:pPr>
            <w:r>
              <w:rPr/>
              <w:t> </w:t>
            </w:r>
          </w:p>
        </w:tc>
        <w:tc>
          <w:tcPr>
            <w:tcW w:w="1502" w:type="dxa"/>
            <w:tcBorders/>
            <w:vAlign w:val="center"/>
          </w:tcPr>
          <w:p>
            <w:pPr>
              <w:pStyle w:val="TableContents"/>
              <w:bidi w:val="0"/>
              <w:spacing w:before="0" w:after="283"/>
              <w:jc w:val="left"/>
              <w:rPr/>
            </w:pPr>
            <w:r>
              <w:rPr/>
              <w:t> </w:t>
            </w:r>
          </w:p>
        </w:tc>
      </w:tr>
      <w:tr>
        <w:trPr/>
        <w:tc>
          <w:tcPr>
            <w:tcW w:w="1002"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1197"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34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Rule</w:t>
            </w:r>
            <w:r>
              <w:rPr/>
              <w:t xml:space="preserve"> </w:t>
            </w:r>
          </w:p>
        </w:tc>
        <w:tc>
          <w:tcPr>
            <w:tcW w:w="124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Amount Registered</w:t>
            </w:r>
            <w:r>
              <w:rPr/>
              <w:t xml:space="preserve"> </w:t>
            </w:r>
          </w:p>
        </w:tc>
        <w:tc>
          <w:tcPr>
            <w:tcW w:w="128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 xml:space="preserve">Proposed Maximum Offering </w:t>
              <w:br/>
              <w:t>Price Per Unit</w:t>
            </w:r>
            <w:r>
              <w:rPr/>
              <w:t xml:space="preserve"> </w:t>
            </w:r>
          </w:p>
        </w:tc>
        <w:tc>
          <w:tcPr>
            <w:tcW w:w="136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w:t>
              <w:br/>
              <w:t>Offering Price</w:t>
            </w:r>
            <w:r>
              <w:rPr/>
              <w:t xml:space="preserve"> </w:t>
            </w:r>
          </w:p>
        </w:tc>
        <w:tc>
          <w:tcPr>
            <w:tcW w:w="126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502"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r>
      <w:tr>
        <w:trPr/>
        <w:tc>
          <w:tcPr>
            <w:tcW w:w="1002"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Equity</w:t>
            </w:r>
            <w:r>
              <w:rPr>
                <w:position w:val="8"/>
                <w:sz w:val="19"/>
              </w:rPr>
              <w:t>(1)</w:t>
            </w:r>
          </w:p>
        </w:tc>
        <w:tc>
          <w:tcPr>
            <w:tcW w:w="119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Common stock, par value $0.001 per share </w:t>
            </w:r>
          </w:p>
        </w:tc>
        <w:tc>
          <w:tcPr>
            <w:tcW w:w="134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Rule 457(a) </w:t>
            </w:r>
          </w:p>
        </w:tc>
        <w:tc>
          <w:tcPr>
            <w:tcW w:w="124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4,565,700 </w:t>
            </w:r>
          </w:p>
        </w:tc>
        <w:tc>
          <w:tcPr>
            <w:tcW w:w="128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$6.66</w:t>
            </w:r>
          </w:p>
        </w:tc>
        <w:tc>
          <w:tcPr>
            <w:tcW w:w="136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$30,407,562</w:t>
            </w:r>
          </w:p>
        </w:tc>
        <w:tc>
          <w:tcPr>
            <w:tcW w:w="126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$138.10 per $1,000,000 </w:t>
            </w:r>
          </w:p>
        </w:tc>
        <w:tc>
          <w:tcPr>
            <w:tcW w:w="1502"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$4,199.28</w:t>
            </w:r>
          </w:p>
        </w:tc>
      </w:tr>
      <w:tr>
        <w:trPr/>
        <w:tc>
          <w:tcPr>
            <w:tcW w:w="4787"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28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6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$30,407,562</w:t>
            </w:r>
          </w:p>
        </w:tc>
        <w:tc>
          <w:tcPr>
            <w:tcW w:w="1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02"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$4,199.28</w:t>
            </w:r>
          </w:p>
        </w:tc>
      </w:tr>
      <w:tr>
        <w:trPr/>
        <w:tc>
          <w:tcPr>
            <w:tcW w:w="4787"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283"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67"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6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502"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r>
      <w:tr>
        <w:trPr/>
        <w:tc>
          <w:tcPr>
            <w:tcW w:w="4787"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28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6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02"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spacing w:val="0"/>
              </w:rPr>
            </w:pPr>
            <w:r>
              <w:rPr>
                <w:spacing w:val="0"/>
              </w:rPr>
              <w:t>$4,199.28</w:t>
            </w:r>
          </w:p>
        </w:tc>
      </w:tr>
    </w:tbl>
    <w:tbl>
      <w:tblPr>
        <w:tblW w:w="10205" w:type="dxa"/>
        <w:jc w:val="left"/>
        <w:tblInd w:w="0" w:type="dxa"/>
        <w:tblLayout w:type="fixed"/>
        <w:tblCellMar>
          <w:top w:w="28" w:type="dxa"/>
          <w:left w:w="28" w:type="dxa"/>
          <w:bottom w:w="28" w:type="dxa"/>
          <w:right w:w="28" w:type="dxa"/>
        </w:tblCellMar>
      </w:tblPr>
      <w:tblGrid>
        <w:gridCol w:w="299"/>
        <w:gridCol w:w="9906"/>
      </w:tblGrid>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9906" w:type="dxa"/>
            <w:tcBorders/>
            <w:tcMar>
              <w:top w:w="0" w:type="dxa"/>
              <w:left w:w="0" w:type="dxa"/>
              <w:bottom w:w="0" w:type="dxa"/>
              <w:right w:w="0" w:type="dxa"/>
            </w:tcMar>
            <w:vAlign w:val="center"/>
          </w:tcPr>
          <w:p>
            <w:pPr>
              <w:pStyle w:val="TableContents"/>
              <w:bidi w:val="0"/>
              <w:spacing w:before="0" w:after="80"/>
              <w:jc w:val="left"/>
              <w:rPr/>
            </w:pPr>
            <w:r>
              <w:rPr>
                <w:sz w:val="20"/>
              </w:rPr>
              <w:t>The "Amount Registered" represents 4,565,700 shares of common stock, par value $0.001 per share (the "Common Stock"), of Gyre Therapeutics, Inc. reserved for issuance under the Gyre Therapeutics, Inc. 2023 Omnibus Incentive Plan (the "Plan"). Pursuant to Rule 416(a) under the Securities Act of 1933, as amended (the "Securities Act"), this Registration Statement on Form S-8 shall also cover such indeterminate number of additional shares of Common Stock as may become issuable to prevent dilution in the event of stock splits, stock dividends or similar transactions pursuant to the terms of the Plan. The "Proposed Maximum Offering Price Per Unit" and "Maximum Aggregate Offering Price" are calculated solely for the purpose of determining the registration fee pursuant to Rules 457(c) and (h) under the Securities Act, and based on the average of the high and low sale prices of the Common Stock, as quoted on The Nasdaq Capital Market on August 24, 2026.</w:t>
            </w:r>
            <w:r>
              <w:rPr/>
              <w:t xml:space="preserve">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24105/000114036123050314/ny20009756x9_s8.htm" TargetMode="External"/><Relationship Id="rId3" Type="http://schemas.openxmlformats.org/officeDocument/2006/relationships/hyperlink" Target="https://www.sec.gov/Archives/edgar/data/1124105/000114036124015774/ef20025363_s8.htm" TargetMode="External"/><Relationship Id="rId4" Type="http://schemas.openxmlformats.org/officeDocument/2006/relationships/hyperlink" Target="https://www.sec.gov/Archives/edgar/data/1124105/000114036125009676/ef20045895_s8.htm" TargetMode="External"/><Relationship Id="rId5" Type="http://schemas.openxmlformats.org/officeDocument/2006/relationships/hyperlink" Target="https://www.sec.gov/Archives/edgar/data/1124105/000095017024126306/gyre-ex3_1.htm" TargetMode="External"/><Relationship Id="rId6" Type="http://schemas.openxmlformats.org/officeDocument/2006/relationships/hyperlink" Target="https://www.sec.gov/Archives/edgar/data/1124105/000114036122046943/brhc10045912_ex3-1.htm" TargetMode="External"/><Relationship Id="rId7" Type="http://schemas.openxmlformats.org/officeDocument/2006/relationships/hyperlink" Target="https://www.sec.gov/Archives/edgar/data/1124105/000114036123050292/ny20009756x10_ex3-2.htm" TargetMode="External"/><Relationship Id="rId8" Type="http://schemas.openxmlformats.org/officeDocument/2006/relationships/hyperlink" Target="https://www.sec.gov/Archives/edgar/data/1124105/000114036123030517/brhc20054638_ex3-1.htm" TargetMode="External"/><Relationship Id="rId9" Type="http://schemas.openxmlformats.org/officeDocument/2006/relationships/hyperlink" Target="https://www.sec.gov/Archives/edgar/data/1124105/000114036123042067/brhc20058284_ex3-1.htm" TargetMode="External"/><Relationship Id="rId10" Type="http://schemas.openxmlformats.org/officeDocument/2006/relationships/hyperlink" Target="https://www.sec.gov/Archives/edgar/data/1124105/000119312517121994/d375894dex31.htm" TargetMode="External"/><Relationship Id="rId11" Type="http://schemas.openxmlformats.org/officeDocument/2006/relationships/hyperlink" Target="https://www.sec.gov/Archives/edgar/data/1124105/000095017024037242/gyre-ex3_6b.htm" TargetMode="External"/><Relationship Id="rId12" Type="http://schemas.openxmlformats.org/officeDocument/2006/relationships/hyperlink" Target="https://www.sec.gov/Archives/edgar/data/1124105/000114036126024702/ef20075357_ex4-8.htm" TargetMode="External"/><Relationship Id="rId13" Type="http://schemas.openxmlformats.org/officeDocument/2006/relationships/hyperlink" Target="https://www.sec.gov/Archives/edgar/data/1124105/000114036123050292/ny20009756x10_ex3-3.htm" TargetMode="External"/><Relationship Id="rId14" Type="http://schemas.openxmlformats.org/officeDocument/2006/relationships/hyperlink" Target="https://www.sec.gov/Archives/edgar/data/1124105/000114036123050292/ny20009756x10_ex10-2.htm" TargetMode="External"/><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2092</Words>
  <Characters>11334</Characters>
  <CharactersWithSpaces>13604</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