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pPr>
      <w:bookmarkStart w:id="0" w:name="gyre-20260630.htm"/>
      <w:bookmarkStart w:id="1" w:name="ksgyre20260630"/>
      <w:bookmarkEnd w:id="0"/>
      <w:bookmarkEnd w:id="1"/>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center"/>
        <w:rP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80" w:after="283"/>
        <w:jc w:val="center"/>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000-51173</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48"/>
        </w:rPr>
        <w:t>Gyre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917" w:type="dxa"/>
        <w:jc w:val="left"/>
        <w:tblInd w:w="0" w:type="dxa"/>
        <w:tblLayout w:type="fixed"/>
        <w:tblCellMar>
          <w:top w:w="28" w:type="dxa"/>
          <w:left w:w="28" w:type="dxa"/>
          <w:bottom w:w="28" w:type="dxa"/>
          <w:right w:w="28" w:type="dxa"/>
        </w:tblCellMar>
      </w:tblPr>
      <w:tblGrid>
        <w:gridCol w:w="2431"/>
        <w:gridCol w:w="1486"/>
      </w:tblGrid>
      <w:tr>
        <w:trPr/>
        <w:tc>
          <w:tcPr>
            <w:tcW w:w="243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56-2020050</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tbl>
      <w:tblPr>
        <w:tblW w:w="3947" w:type="dxa"/>
        <w:jc w:val="left"/>
        <w:tblInd w:w="0" w:type="dxa"/>
        <w:tblLayout w:type="fixed"/>
        <w:tblCellMar>
          <w:top w:w="28" w:type="dxa"/>
          <w:left w:w="28" w:type="dxa"/>
          <w:bottom w:w="28" w:type="dxa"/>
          <w:right w:w="28" w:type="dxa"/>
        </w:tblCellMar>
      </w:tblPr>
      <w:tblGrid>
        <w:gridCol w:w="3016"/>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12730 High Bluff Drive</w:t>
            </w:r>
            <w:r>
              <w:rPr>
                <w:rFonts w:ascii="Times New Roman" w:hAnsi="Times New Roman"/>
                <w:color w:val="000000"/>
                <w:sz w:val="20"/>
              </w:rPr>
              <w:t xml:space="preserve"> </w:t>
            </w:r>
            <w:r>
              <w:rPr>
                <w:rFonts w:ascii="Times New Roman" w:hAnsi="Times New Roman"/>
                <w:b/>
                <w:color w:val="000000"/>
                <w:sz w:val="20"/>
              </w:rPr>
              <w:t>Suite 250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92130</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(858) 284-0115</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Securities registered or to be registered pursuant to Section 12(b) of the Act.</w:t>
      </w:r>
    </w:p>
    <w:p>
      <w:pPr>
        <w:pStyle w:val="TextBody"/>
        <w:bidi w:val="0"/>
        <w:jc w:val="left"/>
        <w:rPr/>
      </w:pPr>
      <w:r>
        <w:rPr/>
        <w:t> </w:t>
      </w:r>
    </w:p>
    <w:tbl>
      <w:tblPr>
        <w:tblW w:w="8935" w:type="dxa"/>
        <w:jc w:val="left"/>
        <w:tblInd w:w="0" w:type="dxa"/>
        <w:tblLayout w:type="fixed"/>
        <w:tblCellMar>
          <w:top w:w="28" w:type="dxa"/>
          <w:left w:w="28" w:type="dxa"/>
          <w:bottom w:w="28" w:type="dxa"/>
          <w:right w:w="28" w:type="dxa"/>
        </w:tblCellMar>
      </w:tblPr>
      <w:tblGrid>
        <w:gridCol w:w="3601"/>
        <w:gridCol w:w="146"/>
        <w:gridCol w:w="1561"/>
        <w:gridCol w:w="146"/>
        <w:gridCol w:w="348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GYRE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460" w:type="dxa"/>
        <w:jc w:val="left"/>
        <w:tblInd w:w="0" w:type="dxa"/>
        <w:tblLayout w:type="fixed"/>
        <w:tblCellMar>
          <w:top w:w="28" w:type="dxa"/>
          <w:left w:w="28" w:type="dxa"/>
          <w:bottom w:w="28" w:type="dxa"/>
          <w:right w:w="28" w:type="dxa"/>
        </w:tblCellMar>
      </w:tblPr>
      <w:tblGrid>
        <w:gridCol w:w="2326"/>
        <w:gridCol w:w="316"/>
        <w:gridCol w:w="14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As of August 01, 2026, the number of outstanding shares of the registrant’s common stock, par value $0.001 per share, was 111,509,849, which includes 5,476,086 shares of common stock issued in the name of the registrant to a stock plan administrator of the registrant (see Note 8 — </w:t>
      </w:r>
      <w:r>
        <w:rPr>
          <w:rFonts w:ascii="Times New Roman" w:hAnsi="Times New Roman"/>
          <w:i/>
          <w:color w:val="000000"/>
          <w:sz w:val="20"/>
        </w:rPr>
        <w:t>Stockholders’ Equity</w:t>
      </w:r>
      <w:r>
        <w:rPr>
          <w:rFonts w:ascii="Times New Roman" w:hAnsi="Times New Roman"/>
          <w:color w:val="000000"/>
          <w:sz w:val="20"/>
        </w:rPr>
        <w:t>).</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27"/>
        <w:gridCol w:w="385"/>
        <w:gridCol w:w="1036"/>
        <w:gridCol w:w="3356"/>
        <w:gridCol w:w="4312"/>
        <w:gridCol w:w="171"/>
        <w:gridCol w:w="518"/>
      </w:tblGrid>
      <w:tr>
        <w:trPr/>
        <w:tc>
          <w:tcPr>
            <w:tcW w:w="42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c>
          <w:tcPr>
            <w:tcW w:w="43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tcMar>
              <w:top w:w="0" w:type="dxa"/>
              <w:left w:w="0" w:type="dxa"/>
              <w:bottom w:w="0" w:type="dxa"/>
              <w:right w:w="0" w:type="dxa"/>
            </w:tcMar>
            <w:vAlign w:val="center"/>
          </w:tcPr>
          <w:p>
            <w:pPr>
              <w:pStyle w:val="TableContents"/>
              <w:bidi w:val="0"/>
              <w:spacing w:before="0" w:after="283"/>
              <w:jc w:val="left"/>
              <w:rPr/>
            </w:pPr>
            <w:r>
              <w:rPr/>
              <w:t> </w:t>
            </w:r>
          </w:p>
        </w:tc>
        <w:tc>
          <w:tcPr>
            <w:tcW w:w="43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12" w:type="dxa"/>
            <w:tcBorders/>
            <w:tcMar>
              <w:top w:w="0" w:type="dxa"/>
              <w:left w:w="0" w:type="dxa"/>
              <w:bottom w:w="0" w:type="dxa"/>
              <w:right w:w="0" w:type="dxa"/>
            </w:tcMar>
            <w:vAlign w:val="center"/>
          </w:tcPr>
          <w:p>
            <w:pPr>
              <w:pStyle w:val="TableContents"/>
              <w:bidi w:val="0"/>
              <w:spacing w:before="0" w:after="283"/>
              <w:jc w:val="left"/>
              <w:rPr/>
            </w:pPr>
            <w:r>
              <w:rPr/>
              <w:t> </w:t>
            </w:r>
          </w:p>
        </w:tc>
        <w:tc>
          <w:tcPr>
            <w:tcW w:w="689"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 No.</w:t>
            </w:r>
          </w:p>
        </w:tc>
      </w:tr>
      <w:tr>
        <w:trPr/>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tcMar>
              <w:top w:w="0" w:type="dxa"/>
              <w:left w:w="0" w:type="dxa"/>
              <w:bottom w:w="0" w:type="dxa"/>
              <w:right w:w="0" w:type="dxa"/>
            </w:tcMar>
            <w:vAlign w:val="center"/>
          </w:tcPr>
          <w:p>
            <w:pPr>
              <w:pStyle w:val="TableContents"/>
              <w:bidi w:val="0"/>
              <w:spacing w:before="0" w:after="283"/>
              <w:jc w:val="left"/>
              <w:rPr/>
            </w:pPr>
            <w:r>
              <w:rPr/>
              <w:t> </w:t>
            </w:r>
          </w:p>
        </w:tc>
        <w:tc>
          <w:tcPr>
            <w:tcW w:w="43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12" w:type="dxa"/>
            <w:tcBorders/>
            <w:tcMar>
              <w:top w:w="0" w:type="dxa"/>
              <w:left w:w="0" w:type="dxa"/>
              <w:bottom w:w="0" w:type="dxa"/>
              <w:right w:w="0" w:type="dxa"/>
            </w:tcMar>
            <w:vAlign w:val="center"/>
          </w:tcPr>
          <w:p>
            <w:pPr>
              <w:pStyle w:val="TableContents"/>
              <w:bidi w:val="0"/>
              <w:spacing w:before="0" w:after="283"/>
              <w:jc w:val="left"/>
              <w:rPr/>
            </w:pPr>
            <w:r>
              <w:rPr/>
              <w:t> </w:t>
            </w:r>
          </w:p>
        </w:tc>
        <w:tc>
          <w:tcPr>
            <w:tcW w:w="68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6" w:type="dxa"/>
            <w:gridSpan w:val="5"/>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b/>
                  <w:color w:val="0000FF"/>
                  <w:sz w:val="20"/>
                  <w:u w:val="single"/>
                </w:rPr>
                <w:t>PART I. FINANCIAL INFORMATION</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financial_statements">
              <w:r>
                <w:rPr>
                  <w:rStyle w:val="InternetLink"/>
                  <w:rFonts w:ascii="Times New Roman" w:hAnsi="Times New Roman"/>
                  <w:color w:val="000080"/>
                  <w:sz w:val="20"/>
                  <w:u w:val="single"/>
                </w:rPr>
                <w:t>Financial Statements</w:t>
              </w:r>
            </w:hyperlink>
            <w:hyperlink w:anchor="item_1_financial_statements">
              <w:r>
                <w:rPr>
                  <w:rStyle w:val="InternetLink"/>
                  <w:rFonts w:ascii="Times New Roman" w:hAnsi="Times New Roman"/>
                  <w:color w:val="000080"/>
                  <w:sz w:val="20"/>
                  <w:u w:val="single"/>
                </w:rPr>
                <w:t>:</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balance_sheets">
              <w:r>
                <w:rPr>
                  <w:rStyle w:val="InternetLink"/>
                  <w:rFonts w:ascii="Times New Roman" w:hAnsi="Times New Roman"/>
                  <w:color w:val="0000FF"/>
                  <w:sz w:val="20"/>
                  <w:u w:val="single"/>
                </w:rPr>
                <w:t>Unaudited Condensed Consolidated Balance Sheets as of June 30, 2026 and December 31, 2025</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operat">
              <w:r>
                <w:rPr>
                  <w:rStyle w:val="InternetLink"/>
                  <w:rFonts w:ascii="Times New Roman" w:hAnsi="Times New Roman"/>
                  <w:color w:val="0000FF"/>
                  <w:sz w:val="20"/>
                  <w:u w:val="single"/>
                </w:rPr>
                <w:t>Unaudited Condensed Consolidated Statements of Operations and Comprehensive (Loss) Income for the three and six months ended June 30, 2026 and 2025</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_stockho">
              <w:r>
                <w:rPr>
                  <w:rStyle w:val="InternetLink"/>
                  <w:rFonts w:ascii="Times New Roman" w:hAnsi="Times New Roman"/>
                  <w:color w:val="0000FF"/>
                  <w:sz w:val="20"/>
                  <w:u w:val="single"/>
                </w:rPr>
                <w:t>Unaudited Condensed Consolidated Statements of Equity for the three and six months ended June 30, 2026 and 2025</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cash_f">
              <w:r>
                <w:rPr>
                  <w:rStyle w:val="InternetLink"/>
                  <w:rFonts w:ascii="Times New Roman" w:hAnsi="Times New Roman"/>
                  <w:color w:val="0000FF"/>
                  <w:sz w:val="20"/>
                  <w:u w:val="single"/>
                </w:rPr>
                <w:t>Unaudited Condensed Consolidated Statements of Cash Flows for the six months ended June 30, 2026 and 2025</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notes_to_condensed_consolidated_financia">
              <w:r>
                <w:rPr>
                  <w:rStyle w:val="InternetLink"/>
                  <w:rFonts w:ascii="Times New Roman" w:hAnsi="Times New Roman"/>
                  <w:color w:val="0000FF"/>
                  <w:sz w:val="20"/>
                  <w:u w:val="single"/>
                </w:rPr>
                <w:t>Notes to the Unaudited Condensed Consolidated Financial Statements</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3_quantitative_qualitative">
              <w:r>
                <w:rPr>
                  <w:rStyle w:val="InternetLink"/>
                  <w:rFonts w:ascii="Times New Roman" w:hAnsi="Times New Roman"/>
                  <w:color w:val="0000FF"/>
                  <w:sz w:val="20"/>
                  <w:u w:val="single"/>
                </w:rPr>
                <w:t>Quantitative and Qualitative Disclosures About Market Risk</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4_controls_and_procedures">
              <w:r>
                <w:rPr>
                  <w:rStyle w:val="InternetLink"/>
                  <w:rFonts w:ascii="Times New Roman" w:hAnsi="Times New Roman"/>
                  <w:color w:val="0000FF"/>
                  <w:sz w:val="20"/>
                  <w:u w:val="single"/>
                </w:rPr>
                <w:t>Controls and Procedures</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516" w:type="dxa"/>
            <w:gridSpan w:val="5"/>
            <w:tcBorders/>
            <w:tcMar>
              <w:top w:w="0" w:type="dxa"/>
              <w:left w:w="0" w:type="dxa"/>
              <w:bottom w:w="0" w:type="dxa"/>
              <w:right w:w="0" w:type="dxa"/>
            </w:tcMar>
            <w:vAlign w:val="center"/>
          </w:tcPr>
          <w:p>
            <w:pPr>
              <w:pStyle w:val="TableContents"/>
              <w:bidi w:val="0"/>
              <w:spacing w:before="0" w:after="283"/>
              <w:ind w:left="0" w:right="0" w:firstLine="245"/>
              <w:jc w:val="left"/>
              <w:rPr/>
            </w:pPr>
            <w:hyperlink w:anchor="part_ii_or_information">
              <w:r>
                <w:rPr>
                  <w:rStyle w:val="InternetLink"/>
                  <w:rFonts w:ascii="Times New Roman" w:hAnsi="Times New Roman"/>
                  <w:b/>
                  <w:color w:val="0000FF"/>
                  <w:sz w:val="20"/>
                  <w:u w:val="single"/>
                </w:rPr>
                <w:t>PART II. OTHER INFORMATION</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Legal Proceedings</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u w:val="single"/>
                </w:rPr>
                <w:t>Risk Factors</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mine_safety_disclosures">
              <w:r>
                <w:rPr>
                  <w:rStyle w:val="InternetLink"/>
                  <w:rFonts w:ascii="Times New Roman" w:hAnsi="Times New Roman"/>
                  <w:color w:val="0000FF"/>
                  <w:sz w:val="20"/>
                  <w:u w:val="single"/>
                </w:rPr>
                <w:t>Mine Safety Disclosures</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5_or_information">
              <w:r>
                <w:rPr>
                  <w:rStyle w:val="InternetLink"/>
                  <w:rFonts w:ascii="Times New Roman" w:hAnsi="Times New Roman"/>
                  <w:color w:val="0000FF"/>
                  <w:sz w:val="20"/>
                  <w:u w:val="single"/>
                </w:rPr>
                <w:t>Other Information</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FF"/>
                  <w:sz w:val="20"/>
                  <w:u w:val="single"/>
                </w:rPr>
                <w:t>Exhibits</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516" w:type="dxa"/>
            <w:gridSpan w:val="5"/>
            <w:tcBorders/>
            <w:tcMar>
              <w:top w:w="0" w:type="dxa"/>
              <w:left w:w="0" w:type="dxa"/>
              <w:bottom w:w="0" w:type="dxa"/>
              <w:right w:w="0" w:type="dxa"/>
            </w:tcMar>
            <w:vAlign w:val="center"/>
          </w:tcPr>
          <w:p>
            <w:pPr>
              <w:pStyle w:val="TableContents"/>
              <w:bidi w:val="0"/>
              <w:spacing w:before="0" w:after="283"/>
              <w:ind w:left="0" w:right="0" w:firstLine="245"/>
              <w:jc w:val="left"/>
              <w:rPr/>
            </w:pPr>
            <w:hyperlink w:anchor="exhibit_bookmark">
              <w:r>
                <w:rPr>
                  <w:rStyle w:val="InternetLink"/>
                  <w:rFonts w:ascii="Times New Roman" w:hAnsi="Times New Roman"/>
                  <w:color w:val="0000FF"/>
                  <w:sz w:val="20"/>
                  <w:u w:val="single"/>
                </w:rPr>
                <w:t>Exhibit Index</w:t>
              </w:r>
            </w:hyperlink>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68"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20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hyperlink w:anchor="signatures">
              <w:r>
                <w:rPr>
                  <w:rStyle w:val="InternetLink"/>
                  <w:rFonts w:ascii="Times New Roman" w:hAnsi="Times New Roman"/>
                  <w:color w:val="0000FF"/>
                  <w:sz w:val="20"/>
                  <w:u w:val="single"/>
                </w:rPr>
                <w:t>Signatures</w:t>
              </w:r>
            </w:hyperlink>
          </w:p>
        </w:tc>
        <w:tc>
          <w:tcPr>
            <w:tcW w:w="4312" w:type="dxa"/>
            <w:tcBorders/>
            <w:tcMar>
              <w:top w:w="0" w:type="dxa"/>
              <w:left w:w="0" w:type="dxa"/>
              <w:bottom w:w="0" w:type="dxa"/>
              <w:right w:w="0" w:type="dxa"/>
            </w:tcMar>
            <w:vAlign w:val="center"/>
          </w:tcPr>
          <w:p>
            <w:pPr>
              <w:pStyle w:val="TableContents"/>
              <w:bidi w:val="0"/>
              <w:spacing w:before="0" w:after="283"/>
              <w:jc w:val="left"/>
              <w:rPr/>
            </w:pPr>
            <w:r>
              <w:rPr/>
              <w:t> </w:t>
            </w:r>
          </w:p>
        </w:tc>
        <w:tc>
          <w:tcPr>
            <w:tcW w:w="689"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1_financial_information"/>
      <w:bookmarkEnd w:id="2"/>
      <w:r>
        <w:rPr>
          <w:rFonts w:ascii="Times New Roman" w:hAnsi="Times New Roman"/>
          <w:b/>
          <w:color w:val="000000"/>
          <w:sz w:val="20"/>
        </w:rPr>
        <w:t>PART I. FINANCIAL</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amounts) </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925"/>
        <w:gridCol w:w="146"/>
        <w:gridCol w:w="211"/>
        <w:gridCol w:w="811"/>
        <w:gridCol w:w="166"/>
        <w:gridCol w:w="146"/>
        <w:gridCol w:w="245"/>
        <w:gridCol w:w="940"/>
        <w:gridCol w:w="615"/>
      </w:tblGrid>
      <w:tr>
        <w:trPr/>
        <w:tc>
          <w:tcPr>
            <w:tcW w:w="6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Recast)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49,192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Short-term bank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Short-term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28,085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31,078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receivables from GNI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Prepaid assets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149,362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27,549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Long-term prepayments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Long-term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7,624</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199,255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219,763</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18,161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government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Warrant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31,404</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B preferred stock, $0.001</w:t>
            </w:r>
            <w:r>
              <w:rPr>
                <w:rFonts w:ascii="Times New Roman" w:hAnsi="Times New Roman"/>
                <w:color w:val="000000"/>
                <w:sz w:val="20"/>
              </w:rPr>
              <w:t> </w:t>
            </w:r>
            <w:r>
              <w:rPr>
                <w:rFonts w:ascii="Times New Roman" w:hAnsi="Times New Roman"/>
                <w:color w:val="000000"/>
                <w:sz w:val="16"/>
              </w:rPr>
              <w:t>par value, 5,000,000</w:t>
            </w:r>
            <w:r>
              <w:rPr>
                <w:rFonts w:ascii="Times New Roman" w:hAnsi="Times New Roman"/>
                <w:color w:val="000000"/>
                <w:sz w:val="20"/>
              </w:rPr>
              <w:t> </w:t>
            </w:r>
            <w:r>
              <w:rPr>
                <w:rFonts w:ascii="Times New Roman" w:hAnsi="Times New Roman"/>
                <w:color w:val="000000"/>
                <w:sz w:val="16"/>
              </w:rPr>
              <w:t>shares authorized; 3,697,235</w:t>
            </w:r>
            <w:r>
              <w:rPr>
                <w:rFonts w:ascii="Times New Roman" w:hAnsi="Times New Roman"/>
                <w:color w:val="000000"/>
                <w:sz w:val="20"/>
              </w:rPr>
              <w:t> </w:t>
            </w:r>
            <w:r>
              <w:rPr>
                <w:rFonts w:ascii="Times New Roman" w:hAnsi="Times New Roman"/>
                <w:color w:val="000000"/>
                <w:sz w:val="16"/>
              </w:rPr>
              <w:t>shares and zero</w:t>
            </w:r>
            <w:r>
              <w:rPr>
                <w:rFonts w:ascii="Times New Roman" w:hAnsi="Times New Roman"/>
                <w:color w:val="000000"/>
                <w:sz w:val="20"/>
              </w:rPr>
              <w:t> </w:t>
            </w:r>
            <w:r>
              <w:rPr>
                <w:rFonts w:ascii="Times New Roman" w:hAnsi="Times New Roman"/>
                <w:color w:val="000000"/>
                <w:sz w:val="16"/>
              </w:rPr>
              <w:t>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Redeemable convertible preferred stock, $0.001</w:t>
            </w:r>
            <w:r>
              <w:rPr>
                <w:rFonts w:ascii="Times New Roman" w:hAnsi="Times New Roman"/>
                <w:color w:val="000000"/>
                <w:sz w:val="20"/>
              </w:rPr>
              <w:t> </w:t>
            </w:r>
            <w:r>
              <w:rPr>
                <w:rFonts w:ascii="Times New Roman" w:hAnsi="Times New Roman"/>
                <w:color w:val="000000"/>
                <w:sz w:val="16"/>
              </w:rPr>
              <w:t>par value, 5,000,000</w:t>
            </w:r>
            <w:r>
              <w:rPr>
                <w:rFonts w:ascii="Times New Roman" w:hAnsi="Times New Roman"/>
                <w:color w:val="000000"/>
                <w:sz w:val="20"/>
              </w:rPr>
              <w:t> </w:t>
            </w:r>
            <w:r>
              <w:rPr>
                <w:rFonts w:ascii="Times New Roman" w:hAnsi="Times New Roman"/>
                <w:color w:val="000000"/>
                <w:sz w:val="16"/>
              </w:rPr>
              <w:t>shares authorized; zero</w:t>
            </w:r>
            <w:r>
              <w:rPr>
                <w:rFonts w:ascii="Times New Roman" w:hAnsi="Times New Roman"/>
                <w:color w:val="000000"/>
                <w:sz w:val="20"/>
              </w:rPr>
              <w:t> </w:t>
            </w:r>
            <w:r>
              <w:rPr>
                <w:rFonts w:ascii="Times New Roman" w:hAnsi="Times New Roman"/>
                <w:color w:val="000000"/>
                <w:sz w:val="16"/>
              </w:rPr>
              <w:t>shares and 2,601,826</w:t>
            </w:r>
            <w:r>
              <w:rPr>
                <w:rFonts w:ascii="Times New Roman" w:hAnsi="Times New Roman"/>
                <w:color w:val="000000"/>
                <w:sz w:val="20"/>
              </w:rPr>
              <w:t> </w:t>
            </w:r>
            <w:r>
              <w:rPr>
                <w:rFonts w:ascii="Times New Roman" w:hAnsi="Times New Roman"/>
                <w:color w:val="000000"/>
                <w:sz w:val="16"/>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15,784</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Redeemable noncontrolling interests — Cullgen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113,030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Common stock, $0.001</w:t>
            </w:r>
            <w:r>
              <w:rPr>
                <w:rFonts w:ascii="Times New Roman" w:hAnsi="Times New Roman"/>
                <w:color w:val="000000"/>
                <w:sz w:val="20"/>
              </w:rPr>
              <w:t> </w:t>
            </w:r>
            <w:r>
              <w:rPr>
                <w:rFonts w:ascii="Times New Roman" w:hAnsi="Times New Roman"/>
                <w:color w:val="000000"/>
                <w:sz w:val="16"/>
              </w:rPr>
              <w:t>par value, 400,000,000</w:t>
            </w:r>
            <w:r>
              <w:rPr>
                <w:rFonts w:ascii="Times New Roman" w:hAnsi="Times New Roman"/>
                <w:color w:val="000000"/>
                <w:sz w:val="20"/>
              </w:rPr>
              <w:t> </w:t>
            </w:r>
            <w:r>
              <w:rPr>
                <w:rFonts w:ascii="Times New Roman" w:hAnsi="Times New Roman"/>
                <w:color w:val="000000"/>
                <w:sz w:val="16"/>
              </w:rPr>
              <w:t>shares authorized; 106,033,763</w:t>
            </w:r>
            <w:r>
              <w:rPr>
                <w:rFonts w:ascii="Times New Roman" w:hAnsi="Times New Roman"/>
                <w:color w:val="000000"/>
                <w:sz w:val="20"/>
              </w:rPr>
              <w:t> </w:t>
            </w:r>
            <w:r>
              <w:rPr>
                <w:rFonts w:ascii="Times New Roman" w:hAnsi="Times New Roman"/>
                <w:color w:val="000000"/>
                <w:sz w:val="16"/>
              </w:rPr>
              <w:t>shares and 91,314,007</w:t>
            </w:r>
            <w:r>
              <w:rPr>
                <w:rFonts w:ascii="Times New Roman" w:hAnsi="Times New Roman"/>
                <w:color w:val="000000"/>
                <w:sz w:val="20"/>
              </w:rPr>
              <w:t> </w:t>
            </w:r>
            <w:r>
              <w:rPr>
                <w:rFonts w:ascii="Times New Roman" w:hAnsi="Times New Roman"/>
                <w:color w:val="000000"/>
                <w:sz w:val="16"/>
              </w:rPr>
              <w:t>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172,819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Statutory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(112,603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Gyre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62,497</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9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59,545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Series B preferred stock, redeemable convertible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219,763</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 and Comprehensive (Loss) Income</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amounts)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94"/>
        <w:gridCol w:w="146"/>
        <w:gridCol w:w="181"/>
        <w:gridCol w:w="871"/>
        <w:gridCol w:w="151"/>
        <w:gridCol w:w="146"/>
        <w:gridCol w:w="181"/>
        <w:gridCol w:w="796"/>
        <w:gridCol w:w="151"/>
        <w:gridCol w:w="146"/>
        <w:gridCol w:w="181"/>
        <w:gridCol w:w="796"/>
        <w:gridCol w:w="151"/>
        <w:gridCol w:w="146"/>
        <w:gridCol w:w="181"/>
        <w:gridCol w:w="796"/>
        <w:gridCol w:w="591"/>
      </w:tblGrid>
      <w:tr>
        <w:trPr/>
        <w:tc>
          <w:tcPr>
            <w:tcW w:w="4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6" w:type="dxa"/>
            <w:gridSpan w:val="6"/>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June 30,</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59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br/>
              <w:t>(As Recast)</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br/>
              <w:t>(As Recast)</w:t>
            </w:r>
          </w:p>
        </w:tc>
        <w:tc>
          <w:tcPr>
            <w:tcW w:w="59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center"/>
              <w:rPr/>
            </w:pPr>
            <w:r>
              <w:rPr/>
              <w:t> </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29,105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29,734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60,305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27,890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Research and development -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502</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6,886</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59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ind w:left="0" w:right="0" w:firstLine="400"/>
              <w:jc w:val="left"/>
              <w:rPr/>
            </w:pPr>
            <w:r>
              <w:rPr/>
              <w:t> </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43,468</w:t>
            </w:r>
          </w:p>
        </w:tc>
        <w:tc>
          <w:tcPr>
            <w:tcW w:w="15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31,974</w:t>
            </w:r>
          </w:p>
        </w:tc>
        <w:tc>
          <w:tcPr>
            <w:tcW w:w="15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86,872</w:t>
            </w:r>
          </w:p>
        </w:tc>
        <w:tc>
          <w:tcPr>
            <w:tcW w:w="15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60,003</w:t>
            </w:r>
          </w:p>
        </w:tc>
        <w:tc>
          <w:tcPr>
            <w:tcW w:w="59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(33,337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(loss)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2,467</w:t>
            </w:r>
          </w:p>
        </w:tc>
        <w:tc>
          <w:tcPr>
            <w:tcW w:w="59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4,265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(662</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(1,563</w:t>
            </w:r>
          </w:p>
        </w:tc>
        <w:tc>
          <w:tcPr>
            <w:tcW w:w="59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(32,849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Accretion of Cullgen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(3,665</w:t>
            </w:r>
          </w:p>
        </w:tc>
        <w:tc>
          <w:tcPr>
            <w:tcW w:w="15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(2,835</w:t>
            </w:r>
          </w:p>
        </w:tc>
        <w:tc>
          <w:tcPr>
            <w:tcW w:w="15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(11,945</w:t>
            </w:r>
          </w:p>
        </w:tc>
        <w:tc>
          <w:tcPr>
            <w:tcW w:w="15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(2,644</w:t>
            </w:r>
          </w:p>
        </w:tc>
        <w:tc>
          <w:tcPr>
            <w:tcW w:w="59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(11,663</w:t>
            </w:r>
          </w:p>
        </w:tc>
        <w:tc>
          <w:tcPr>
            <w:tcW w:w="15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(2,044</w:t>
            </w:r>
          </w:p>
        </w:tc>
        <w:tc>
          <w:tcPr>
            <w:tcW w:w="15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(24,809</w:t>
            </w:r>
          </w:p>
        </w:tc>
        <w:tc>
          <w:tcPr>
            <w:tcW w:w="15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w:t>
            </w:r>
          </w:p>
        </w:tc>
        <w:tc>
          <w:tcPr>
            <w:tcW w:w="59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 income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(0.12</w:t>
            </w:r>
          </w:p>
        </w:tc>
        <w:tc>
          <w:tcPr>
            <w:tcW w:w="15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(0.02</w:t>
            </w:r>
          </w:p>
        </w:tc>
        <w:tc>
          <w:tcPr>
            <w:tcW w:w="15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(0.26</w:t>
            </w:r>
          </w:p>
        </w:tc>
        <w:tc>
          <w:tcPr>
            <w:tcW w:w="15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0.00</w:t>
            </w:r>
          </w:p>
        </w:tc>
        <w:tc>
          <w:tcPr>
            <w:tcW w:w="59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ind w:left="0" w:right="0" w:firstLine="200"/>
              <w:jc w:val="left"/>
              <w:rPr/>
            </w:pPr>
            <w:r>
              <w:rPr/>
              <w:t> </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(0.12</w:t>
            </w:r>
          </w:p>
        </w:tc>
        <w:tc>
          <w:tcPr>
            <w:tcW w:w="15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(0.03</w:t>
            </w:r>
          </w:p>
        </w:tc>
        <w:tc>
          <w:tcPr>
            <w:tcW w:w="15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(0.26</w:t>
            </w:r>
          </w:p>
        </w:tc>
        <w:tc>
          <w:tcPr>
            <w:tcW w:w="15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(0.03</w:t>
            </w:r>
          </w:p>
        </w:tc>
        <w:tc>
          <w:tcPr>
            <w:tcW w:w="59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Weighted average shares used in calculating net (loss)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100,637,599</w:t>
            </w:r>
          </w:p>
        </w:tc>
        <w:tc>
          <w:tcPr>
            <w:tcW w:w="15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89,119,344</w:t>
            </w:r>
          </w:p>
        </w:tc>
        <w:tc>
          <w:tcPr>
            <w:tcW w:w="15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96,003,117</w:t>
            </w:r>
          </w:p>
        </w:tc>
        <w:tc>
          <w:tcPr>
            <w:tcW w:w="15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87,295,099</w:t>
            </w:r>
          </w:p>
        </w:tc>
        <w:tc>
          <w:tcPr>
            <w:tcW w:w="59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ind w:left="0" w:right="0" w:firstLine="200"/>
              <w:jc w:val="left"/>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100,637,599</w:t>
            </w:r>
          </w:p>
        </w:tc>
        <w:tc>
          <w:tcPr>
            <w:tcW w:w="15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89,203,138</w:t>
            </w:r>
          </w:p>
        </w:tc>
        <w:tc>
          <w:tcPr>
            <w:tcW w:w="15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96,003,117</w:t>
            </w:r>
          </w:p>
        </w:tc>
        <w:tc>
          <w:tcPr>
            <w:tcW w:w="15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87,430,167</w:t>
            </w:r>
          </w:p>
        </w:tc>
        <w:tc>
          <w:tcPr>
            <w:tcW w:w="591" w:type="dxa"/>
            <w:tcBorders>
              <w:bottom w:val="double" w:sz="6" w:space="0" w:color="000000"/>
            </w:tcBorders>
            <w:shd w:fill="FFFFFF" w:val="clear"/>
            <w:tcMar>
              <w:top w:w="0" w:type="dxa"/>
              <w:left w:w="0" w:type="dxa"/>
              <w:bottom w:w="58" w:type="dxa"/>
              <w:right w:w="0" w:type="dxa"/>
            </w:tcMar>
            <w:vAlign w:val="center"/>
          </w:tcPr>
          <w:p>
            <w:pPr>
              <w:pStyle w:val="TableContents"/>
              <w:bidi w:val="0"/>
              <w:spacing w:before="0" w:after="283"/>
              <w:ind w:left="0" w:right="0" w:firstLine="200"/>
              <w:jc w:val="left"/>
              <w:rPr/>
            </w:pPr>
            <w:r>
              <w:rPr/>
              <w:t> </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Reclassification adjustment for gains (loss) included in 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Unrealized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Reclassification adjustment for gains (loss) included in 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Unrealized loss on short-term investments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Foreign currency translation adjustments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593</w:t>
            </w:r>
          </w:p>
        </w:tc>
        <w:tc>
          <w:tcPr>
            <w:tcW w:w="15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w:t>
            </w:r>
          </w:p>
        </w:tc>
        <w:tc>
          <w:tcPr>
            <w:tcW w:w="15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1,321</w:t>
            </w:r>
          </w:p>
        </w:tc>
        <w:tc>
          <w:tcPr>
            <w:tcW w:w="15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w:t>
            </w:r>
          </w:p>
        </w:tc>
        <w:tc>
          <w:tcPr>
            <w:tcW w:w="591" w:type="dxa"/>
            <w:tcBorders>
              <w:bottom w:val="single" w:sz="4"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r>
      <w:tr>
        <w:trPr/>
        <w:tc>
          <w:tcPr>
            <w:tcW w:w="4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(3,340</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(2,708</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(10,928</w:t>
            </w:r>
          </w:p>
        </w:tc>
        <w:tc>
          <w:tcPr>
            <w:tcW w:w="15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(2,431</w:t>
            </w:r>
          </w:p>
        </w:tc>
        <w:tc>
          <w:tcPr>
            <w:tcW w:w="591" w:type="dxa"/>
            <w:tcBorders>
              <w:bottom w:val="single" w:sz="4" w:space="0" w:color="000000"/>
            </w:tcBorders>
            <w:shd w:fill="FFFFFF"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income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(10,315</w:t>
            </w:r>
          </w:p>
        </w:tc>
        <w:tc>
          <w:tcPr>
            <w:tcW w:w="15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(1,833</w:t>
            </w:r>
          </w:p>
        </w:tc>
        <w:tc>
          <w:tcPr>
            <w:tcW w:w="15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(22,033</w:t>
            </w:r>
          </w:p>
        </w:tc>
        <w:tc>
          <w:tcPr>
            <w:tcW w:w="15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464</w:t>
            </w:r>
          </w:p>
        </w:tc>
        <w:tc>
          <w:tcPr>
            <w:tcW w:w="591" w:type="dxa"/>
            <w:tcBorders>
              <w:bottom w:val="double" w:sz="6" w:space="0" w:color="000000"/>
            </w:tcBorders>
            <w:shd w:fill="CFF0FC" w:val="clear"/>
            <w:tcMar>
              <w:top w:w="0" w:type="dxa"/>
              <w:left w:w="0" w:type="dxa"/>
              <w:bottom w:w="58"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atement_stockho"/>
      <w:bookmarkEnd w:id="6"/>
      <w:r>
        <w:rPr>
          <w:rFonts w:ascii="Times New Roman" w:hAnsi="Times New Roman"/>
          <w:b/>
          <w:color w:val="000000"/>
          <w:sz w:val="20"/>
        </w:rPr>
        <w:t>Condensed Consolidated Statements of Equity</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amounts)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pPr>
      <w:r>
        <w:rPr/>
        <w:t> </w:t>
      </w:r>
    </w:p>
    <w:tbl>
      <w:tblPr>
        <w:tblW w:w="14631" w:type="dxa"/>
        <w:jc w:val="left"/>
        <w:tblInd w:w="0" w:type="dxa"/>
        <w:tblLayout w:type="fixed"/>
        <w:tblCellMar>
          <w:top w:w="28" w:type="dxa"/>
          <w:left w:w="28" w:type="dxa"/>
          <w:bottom w:w="28" w:type="dxa"/>
          <w:right w:w="28" w:type="dxa"/>
        </w:tblCellMar>
      </w:tblPr>
      <w:tblGrid>
        <w:gridCol w:w="1061"/>
        <w:gridCol w:w="146"/>
        <w:gridCol w:w="146"/>
        <w:gridCol w:w="586"/>
        <w:gridCol w:w="146"/>
        <w:gridCol w:w="166"/>
        <w:gridCol w:w="436"/>
        <w:gridCol w:w="146"/>
        <w:gridCol w:w="146"/>
        <w:gridCol w:w="631"/>
        <w:gridCol w:w="151"/>
        <w:gridCol w:w="166"/>
        <w:gridCol w:w="481"/>
        <w:gridCol w:w="151"/>
        <w:gridCol w:w="146"/>
        <w:gridCol w:w="631"/>
        <w:gridCol w:w="151"/>
        <w:gridCol w:w="166"/>
        <w:gridCol w:w="541"/>
        <w:gridCol w:w="151"/>
        <w:gridCol w:w="146"/>
        <w:gridCol w:w="706"/>
        <w:gridCol w:w="146"/>
        <w:gridCol w:w="170"/>
        <w:gridCol w:w="356"/>
        <w:gridCol w:w="146"/>
        <w:gridCol w:w="166"/>
        <w:gridCol w:w="496"/>
        <w:gridCol w:w="146"/>
        <w:gridCol w:w="184"/>
        <w:gridCol w:w="417"/>
        <w:gridCol w:w="146"/>
        <w:gridCol w:w="186"/>
        <w:gridCol w:w="610"/>
        <w:gridCol w:w="151"/>
        <w:gridCol w:w="280"/>
        <w:gridCol w:w="636"/>
        <w:gridCol w:w="151"/>
        <w:gridCol w:w="203"/>
        <w:gridCol w:w="608"/>
        <w:gridCol w:w="151"/>
        <w:gridCol w:w="235"/>
        <w:gridCol w:w="681"/>
        <w:gridCol w:w="151"/>
        <w:gridCol w:w="166"/>
        <w:gridCol w:w="496"/>
        <w:gridCol w:w="356"/>
      </w:tblGrid>
      <w:tr>
        <w:trPr/>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B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 convertible 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 Noncontrolling 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 Capital</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Statutory Reserve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Deficit</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Other Comprehensive (Loss) Income</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Gyre</w:t>
              <w:br/>
              <w:t>Stockholders’ Equity</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 Interest</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Equity</w:t>
            </w:r>
          </w:p>
        </w:tc>
        <w:tc>
          <w:tcPr>
            <w:tcW w:w="35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60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79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91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1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91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66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35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December 31, 2025, as recast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2,601,826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1,095,409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113,030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91,314,007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(112,603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62,497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59,545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Appropriation of statutory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2,825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Accretion of Cullgen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Unrealized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Reclassification adjustment for loss included in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(18,579</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March 31, 2026, as recast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2,601,826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1,095,409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115,877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91,337,121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(126,299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53,383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(10,298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43,085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Shares issued upon common control merger with Cullgen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3,697,235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(2,601,826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(1,095,409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(116,935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14,450,527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111,038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Accretion of Cullgen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Unrealized loss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(14,270</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3,697,235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106,033,763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240,644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(137,962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107,928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34,561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142,489</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Equity</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amounts)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pPr>
      <w:r>
        <w:rPr/>
        <w:t> </w:t>
      </w:r>
    </w:p>
    <w:tbl>
      <w:tblPr>
        <w:tblW w:w="12378" w:type="dxa"/>
        <w:jc w:val="left"/>
        <w:tblInd w:w="0" w:type="dxa"/>
        <w:tblLayout w:type="fixed"/>
        <w:tblCellMar>
          <w:top w:w="28" w:type="dxa"/>
          <w:left w:w="28" w:type="dxa"/>
          <w:bottom w:w="28" w:type="dxa"/>
          <w:right w:w="28" w:type="dxa"/>
        </w:tblCellMar>
      </w:tblPr>
      <w:tblGrid>
        <w:gridCol w:w="1061"/>
        <w:gridCol w:w="146"/>
        <w:gridCol w:w="146"/>
        <w:gridCol w:w="586"/>
        <w:gridCol w:w="146"/>
        <w:gridCol w:w="166"/>
        <w:gridCol w:w="436"/>
        <w:gridCol w:w="146"/>
        <w:gridCol w:w="146"/>
        <w:gridCol w:w="586"/>
        <w:gridCol w:w="146"/>
        <w:gridCol w:w="166"/>
        <w:gridCol w:w="496"/>
        <w:gridCol w:w="146"/>
        <w:gridCol w:w="146"/>
        <w:gridCol w:w="646"/>
        <w:gridCol w:w="146"/>
        <w:gridCol w:w="166"/>
        <w:gridCol w:w="346"/>
        <w:gridCol w:w="146"/>
        <w:gridCol w:w="166"/>
        <w:gridCol w:w="496"/>
        <w:gridCol w:w="151"/>
        <w:gridCol w:w="166"/>
        <w:gridCol w:w="376"/>
        <w:gridCol w:w="146"/>
        <w:gridCol w:w="166"/>
        <w:gridCol w:w="541"/>
        <w:gridCol w:w="151"/>
        <w:gridCol w:w="259"/>
        <w:gridCol w:w="657"/>
        <w:gridCol w:w="151"/>
        <w:gridCol w:w="202"/>
        <w:gridCol w:w="534"/>
        <w:gridCol w:w="151"/>
        <w:gridCol w:w="237"/>
        <w:gridCol w:w="604"/>
        <w:gridCol w:w="151"/>
        <w:gridCol w:w="166"/>
        <w:gridCol w:w="436"/>
        <w:gridCol w:w="356"/>
      </w:tblGrid>
      <w:tr>
        <w:trPr/>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Redeemable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Redeemable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Additional</w:t>
              <w:br/>
              <w:t>Paid-In Capital</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Statutory Reserve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Accumulated Deficit</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Other Comprehensive (Loss) Income</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Total Gyre</w:t>
              <w:br/>
              <w:t>Stockholders’ Equity</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Non-controlling Interest</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Total Equity</w:t>
            </w:r>
          </w:p>
        </w:tc>
        <w:tc>
          <w:tcPr>
            <w:tcW w:w="35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54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70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91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73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4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60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35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December 31, 2024, as recast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2,601,826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86,307,544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136,954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(109,348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27,892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35,790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1,273,931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Accretion of Cullgen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Common Stock upon ATM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CVR Liability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Deferred financing costs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Unrealized gains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Reclassification adjustment for loss included in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4,939</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March 31, 2025, as recast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2,601,826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104,903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87,636,209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138,948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32,184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40,675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631,064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Accretion of Cullgen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2,555,555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23,000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Deferred financing costs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Unrealized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Reclassification adjustment for gains included in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June 30, 2025, as recast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2,601,826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90,822,828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162,206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(109,222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53,613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59,610</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41"/>
        <w:gridCol w:w="746"/>
        <w:gridCol w:w="199"/>
        <w:gridCol w:w="672"/>
        <w:gridCol w:w="168"/>
        <w:gridCol w:w="148"/>
        <w:gridCol w:w="209"/>
        <w:gridCol w:w="708"/>
        <w:gridCol w:w="814"/>
      </w:tblGrid>
      <w:tr>
        <w:trPr/>
        <w:tc>
          <w:tcPr>
            <w:tcW w:w="65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(As Recast)</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(32,849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(loss) income to net cash used in 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Equity in loss of unconsolidated affiliate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Noncash lease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income taxes,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Bad debt expense and other non-cash items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interest on long-term certificates of deposit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premium or discount on short-term investments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fair value of financial liabilities,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Foreign currency exchange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Notes receivable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receivable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Inventories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and other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Income tax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Due to related parties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expenses and other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Operating lease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proceeds from CVR liability settlement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(13,548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of intangible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certificates of deposit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(19,184</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available-for-sale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(11,224</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of available-for-sale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11,699</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 of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maturity of certificates of deposit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12,997</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23,190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Payments of listing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(2,106</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 paid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(1,802</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the exercise of stock options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the issuance of common stock</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23,000</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the issuance of common stock in ATM program</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21,589</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increase in cash</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17,317</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at beginning of the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49,192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39,048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at end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43,287</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56,365</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 disclosure of non-cash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 obtained in exchange for operating lease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1,602</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Financing and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redeemable convertible preferred stock</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5,220</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property and equipment and intangible assets included in accrued expenses and other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Unpaid listing expense included in accrued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Gyre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 (Unaudited)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 and Basis of Presentation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Gyre Therapeutics, Inc. (the “Company” or “Gyre”), formerly known as Catalyst Biosciences, Inc. (“Catalyst”), is a commercial-stage biopharmaceutical company originally incorporated in Delaware on March 7, 1997 under the name Targacept,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 Company holds a 69.7% indirect interest in Beijing Continent Pharmaceuticals Co., Ltd. (d/b/a Gyre Pharmaceuticals Co., Ltd., “Gyre Pharmaceuticals”), a commercial-stage biopharmaceutical company registered and established in the People’s Republic of China (“PRC”) in 2002. The majority shareholder of Gyre is GNI USA, Inc. (“GNI USA”), which is indirectly wholly owned by GNI Group Ltd. (“GNI Japan”). Gyre is a commercial-stage biotechnology company with a proven track record of success in developing and commercializing small-molecule anti-inflammatory and anti-fibrotic drugs targeting organ diseases, focusing specifically on organ fibrosis. Fibrotic diseases represent a large patient population with significant unmet medical needs.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4, 2026 (the “Merger Closing Date”), the Company completed the merger (the “Merger”) with Cullgen Inc. (“Cullgen”) pursuant to the Agreement and Plan of Merger and Reorganization (the “Merger Agreement”), dated March 2, 2026, by and among Gyre, Cullgen, and Helix Merger Sub Corp. (“Merger Sub”). Upon consummation of the Merger, Cullgen became a wholly owned subsidiary of Gyre. Cullgen, a biopharmaceutical company dedicated to the development of medicines for the treatment of diseases lacking effective therapeutic approaches, was incorporated in the state of Delaware on January 12, 2018.</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2026, the Company had a net loss of $32.8 million, while net cash used in operating activities was $13.5 million. As of June 30, 2026, the Company had an accumulated deficit of $138.0 million and cash and cash equivalents of $43.3 million. Based on the Company’s current operating plan, management believes that existing cash and cash equivalents, cash flows from operations, and access to capital markets will be sufficient to fund the Company’s operating activities and obligations for at least twelve months following the issuance of these condensed consolidated financial statements.</w:t>
      </w:r>
    </w:p>
    <w:p>
      <w:pPr>
        <w:pStyle w:val="TextBody"/>
        <w:bidi w:val="0"/>
        <w:spacing w:before="240" w:after="283"/>
        <w:jc w:val="both"/>
        <w:rPr>
          <w:rFonts w:ascii="Times New Roman" w:hAnsi="Times New Roman"/>
          <w:sz w:val="20"/>
        </w:rPr>
      </w:pPr>
      <w:r>
        <w:rPr>
          <w:rFonts w:ascii="Times New Roman" w:hAnsi="Times New Roman"/>
          <w:b/>
          <w:i/>
          <w:color w:val="000000"/>
          <w:sz w:val="20"/>
        </w:rPr>
        <w:t>Basis of Presentation and Principles of Consolidation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include the accounts of the Company and its controlled subsidiaries after elimination of all intercompany accounts and transactions among consolidated entities. On May 4, 2026, the Company completed the Merger with Cullgen, an entity under common control with the Company through GNI Japan. The Merger has been accounted for as a transaction between entities under common control. Accordingly, the accompanying unaudited condensed consolidated financial statements have been retrospectively recast for all periods presented during which the Company and Cullgen were under common control to reflect the combined financial position, results of operations, changes in stockholders’ equity, and cash flows of the Company and Cullgen as if the common-control transfer had occurred at the beginning of the earliest period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periods prior to the Merger Closing Date, the retrospective recast reflects the common-control transfer of Cullgen to the Company but does not give effect to the Company’s acquisition or exchange of Cullgen ownership interests held by parties other than GNI Japan before the date such interests were acquired or exchanged. Accordingly, Cullgen’s historical equity, net income or loss, and comprehensive income or loss attributable to ownership interests held by parties other than GNI Japan have been presented as noncontrolling interests for periods prior to the Merger Closing Date. Upon completion of the Merger, Cullgen became a wholly owned subsidiary of the Company and the related Cullgen noncontrolling interests were eliminated within equity, with no gain or loss recognized in the condensed consolidated statements of operations or comprehensive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U.S. generally accepted accounting principles (“GAAP”) and the requirements of the Securities and Exchange Commission (the “SEC”) for interim reporting. The December 31, 2025 consolidated balance sheet has been derived from the audited consolidated financial statements included in the Annual Report on Form 10-K for the fiscal year ended December 31, 2025, as filed with the SEC, and has been retrospectively recast to reflect the Merger, which was accounted for as a transaction between entities under common control (see Note 2, Summary of Significant Accounting Policies). The retrospective recast reflects a change in reporting entity resulting from a combination of entities under common control and does not represent the correction of an error in previously issued financial statements. As permitted under the SEC’s interim reporting rules, certain footnotes or other financial information that are normally required by GAAP can be condensed or omitted. These unaudited condensed consolidated financial statements have been prepared on the same basis as the Company’s annual consolidated financial statements after giving effect to the retrospective recast described above, and, in the opinion of management, reflect all adjustments, consisting only of normal recurring adjustments, which are necessary for a fair presentation of the Company’s condensed consolidated financial information. These unaudited condensed consolidated results of operations and cash flows for any interim period are not necessarily indicative of the results to be expected for the year ending December 31, 2026, or for any other future annual or interim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and related financial information should be read in conjunction with the consolidated financial statements filed with the Annual Report on Form 10-K for the year ended December 31, 2025 filed with the SEC on March 13, 2026 (the “Annual Report”), together with the disclosures included herein regarding the retrospective recast resulting from the Merger.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142" w:type="dxa"/>
        <w:jc w:val="left"/>
        <w:tblInd w:w="0" w:type="dxa"/>
        <w:tblLayout w:type="fixed"/>
        <w:tblCellMar>
          <w:top w:w="28" w:type="dxa"/>
          <w:left w:w="28" w:type="dxa"/>
          <w:bottom w:w="28" w:type="dxa"/>
          <w:right w:w="28" w:type="dxa"/>
        </w:tblCellMar>
      </w:tblPr>
      <w:tblGrid>
        <w:gridCol w:w="271"/>
        <w:gridCol w:w="3871"/>
      </w:tblGrid>
      <w:tr>
        <w:trPr/>
        <w:tc>
          <w:tcPr>
            <w:tcW w:w="271"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Summary of Significant Accounting Policies</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Control Merger and Retrospective Recast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acquired Cullgen in an all-stock transaction pursuant to which all outstanding shares of Cullgen capital stock were exchanged for shares of the Company’s common stock or Series B Convertible Preferred Stock in accordance with the exchange terms set forth in the Merger Agreement. The Company evaluated the Merger under ASC 805-50 and determined that the Merger is a combination of entities under common control because both the Company and Cullgen were controlled by GNI Japan before and after the Merger and such control was not transitory. The net assets transferred in the Merger were determined to represent a business, as defined under ASC 805-10-55-4, and the Merger resulted in a change in reporting entity, as defined under ASC 250-10-20. The Company was identified as the receiving entity and Cullgen as the transferring entity for accounting purposes. The assets and liabilities transferred were recognized at their historical carrying amounts on the Merger Closing Date. No new basis of accounting or goodwill was recognized in accordance with ASC 805-50.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ASC 805-50 and applicable SEC rules and regulations, the historical periods included in the accompanying interim financial statements have been retrospectively recast to reflect the common control transaction. As such, the financial statements for periods prior to the Merger reflect the combined results of the Company and Cullgen as if Cullgen had been part of the Company during the historical periods presented during which the entities were under common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Merger also resulted in the Company acquiring or exchanging Cullgen ownership interests held by parties other than GNI Japan. The Company accounts for the acquisition or exchange of those non-GNI interests as an equity transaction as of the Merger Closing Date. Accordingly, the retrospective recast of historical periods prior to the Merger Closing Date does not give effect to the acquisition or exchange of such non-GNI interests before the date those interests were acquired or exchanged. For those pre-Merger periods, the Company retained and attributed Cullgen’s historical non-GNI ownership interests as noncontrolling interests, including redeemable preferred stock interests classified outside permanent equity when applicable.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historical financial data of Cullgen included in the historical recast periods has been derived from the historical financial statements and accounting records of Cullgen, which were prepared on a standalone basis in accordance with U.S. GAAP using the historical accounting policies applied by Cullgen. Management reviewed GNI Japan’s historical carrying-basis information for Cullgen and did not identify acquisition-accounting basis differences, pushdown accounting adjustments, or goodwill associated with Cullgen that would require adjustment to Cullgen’s standalone historical financial information for purposes of the retrospective recast.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Effect of Change in Reporting Entity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effect of the retrospective recast resulting from the common-control Merger on the Company’s condensed consolidated statements of operations and comprehensive (loss) income and related per-share amounts for the periods presented. Management assessed that the effect of change in reporting entity resulting from the Merger was immaterial for the three months ended June 30, 2026 as the Company assumed consummation of the Merger at the beginning of second quarter 2026.</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5564"/>
        <w:gridCol w:w="530"/>
        <w:gridCol w:w="1587"/>
        <w:gridCol w:w="166"/>
        <w:gridCol w:w="233"/>
        <w:gridCol w:w="698"/>
        <w:gridCol w:w="183"/>
        <w:gridCol w:w="233"/>
        <w:gridCol w:w="698"/>
        <w:gridCol w:w="313"/>
      </w:tblGrid>
      <w:tr>
        <w:trPr/>
        <w:tc>
          <w:tcPr>
            <w:tcW w:w="556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5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Effect on net loss</w:t>
            </w:r>
            <w:r>
              <w:rPr>
                <w:rFonts w:ascii="Times New Roman" w:hAnsi="Times New Roman"/>
                <w:color w:val="000000"/>
                <w:sz w:val="13"/>
              </w:rPr>
              <w:t>*</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on net loss attributable to common stockholders</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on other comprehensive (loss) income</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on basic net loss per share attributable to common stockholders</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on diluted net loss per share attributable to common stockholders</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effect of the retrospective recast resulting from the common-control Merger did not have a separate impact on operating income, as operating income was equal to net income for the periods presented. Accordingly, the effects of the change are reflected in net income.</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management to make estimates and assumptions that affect the amounts reported in the condensed consolidated financial statements and accompanying notes. On an ongoing basis, management evaluates its estimates, including those related to revenue recognition, allowance of doubtful accounts, long-term receivable, warrant liability, allowance for credit losses, reserves for excess or obsolete inventory, operating lease right-of-use assets and liabilities, recognition of research and development expenses to the appropriate financial reporting period based on the progress of the research and development projects, income taxes, stock-based compensation, preferred stock warrant liabilities, and useful lives of property and equipment and intangibles with definite lives. The Company bases its estimates on various assumptions that the Company believes to be reasonable under the circumstances. Actual results could differ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reports noncontrolling interest (“NCI”) in a subsidiary as a separate component of equity in the condensed consolidated balance sheets. The Company also reports the portion of net income or loss and comprehensive income or loss attributable to the Company and NCI separately in the condensed consolidated statements of operations and comprehensive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retrospective recast of the Merger, for periods prior to the Merger Closing Date, the Company attributes Cullgen’s historical equity, net income or loss, and comprehensive income or loss between the controlling interest and NCI based on the applicable ownership interests and contractual or economic rights. Cullgen interests held by GNI Japan or its controlled affiliates are attributed to the controlling interest and eliminated in consolidation. Cullgen interests held by parties other than GNI Japan are presented as NCI. The non-GNI portion of Cullgen’s redeemable convertible preferred stock principal and cumulative accretion is presented as redeemable noncontrolling interests outside permanent equity until the Merger Closing Date when such interests were acquired or exchanged in the Merger.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pre-Merger periods, accretion of Cullgen redeemable convertible preferred stock held by non-GNI holders is retained in the recast financial statements and considered in the attribution of income or loss between the controlling interest and NCI. The residual Cullgen income or loss after the effect of such preferred stock accretion is attributed between the controlling interest and NCI based on the applicable common ownership interests. On the Merger Closing Date, Cullgen became a wholly owned subsidiary of the Company and the related Cullgen NCI was eliminated within equity, with no gain or loss recognized in net income or comprehensive income.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Series B Convertible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accounts for its Series B Convertible Preferred Stock in accordance with ASC Topic 480, Distinguishing Liabilities from Equity (“ASC 480”), and other applicable U.S. GAAP. The Series B Convertible Preferred Stock was issued by the Company in connection with the Merger and was initially recognized at the carryover-basis amount determined in the common-control transaction. The Company evaluates the instrument’s redemption, conversion, and other substantive terms at each reporting date to determine whether classification as a liability, temporary equity, or permanent equity is required. Preferred stock that is mandatorily redeemable is classified as a liability and measured at the present value of the redemption amount. Preferred stock that is redeemable upon the occurrence of events not solely within the Company’s control is classified as temporary equity. At all other times, preferred stock is classified within stockholders’ equity. The Company records accretion to redemption value when required by applicable accounting guidance. The Company concluded that the Series B Convertible Preferred Stock was classified as temporary equity (mezzanine equity) as of June 30, 2026 under ASC 480-10-S99.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Stockholder approval for conversion of the Series B Convertible Preferred Stock was obtained on June 10, 2026, which eliminated the stockholder-approval contingency that had restricted conversion and could have resulted in cash settlement if conversion shares were not deliverable. However, stockholder approval did not eliminate a separate fundamental transaction feature that may require settlement upon events not solely within the Company’s control. Accordingly, while any Series B Convertible Preferred Stock remains outstanding, the Company will continue to classify the instrument in temporary equity unless the shares are converted into common stock, the fundamental transaction feature is removed or amended such that temporary equity classification is no longer required, or the Company otherwise concludes that permanent equity classification is appropriate under applicable accounting guidance. Because the Series B Convertible Preferred Stock does not have an ultimate redemption amount or earliest redemption date to which the carrying amount should be accreted and was not currently redeemable or probable of becoming redeemable as of June 30, 2026, the Company did not record periodic accretion to redemption value.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CODM uses segment net income or loss generated from segment assets in monitoring budget versus actual results in assessing the performance of the segment.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Following the Merger with Cullgen, the Company's CODM changed from a previous group consisting of (i) the Executive Chairman of Gyre’s Board of Directors, who also served as Gyre’s Interim Chief Executive Officer, and (ii) Gyre’s Chief Operating Officer, who also served as Gyre Pharmaceuticals’ General Manager, to the Company’s Chief Executive Officer. The Company has determined that it has two reportable segments.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a number of risks associated with companies at a similar stage, including dependence on key individuals, competition from larger and established companies, uncertainty of clinical results, ability to obtain adequate financing to support growth, the ability to attract and retain additional qualified personnel to manage the anticipated growth of the Company, and general economic conditions.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principally of cash, accounts receivable, note receivable, long-term certificates of deposits and short-term bank deposits.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exposed to United States credit risk in the event of default by the United States institutions holding cash to the extent beyond the amount insured by the United States federal depository insurance corporation. In the United States, the Federal Deposit Insurance Corporation (“FDIC”) insures deposits at federally insured financial institutions up to a limit of $250,000 per depositor, per insured bank, for each account ownership category. The Securities Investor Protection Corporation (“SIPC”) protects customer assets held by registered broker</w:t>
        <w:noBreakHyphen/>
        <w:t>dealers, with a standard limit of $500,000 per customer. The Company maintains cash and deposits in excess of the amount protected by FDIC and SIPC insurance. In the event of failure or insolvency of one of these financial institutions, the Company may be unable to recover its deposits in full. Management believes that these financial institutions are of high credit quality and continually monitors the creditworthiness of these financial institutions. As of June 30, 2026 and December 31, 2025, the Company had cash and cash equivalents held in U.S. financial institutions of $43.3 million and $49.2 million, respectively. Of the 2026 balance, $4.7 million represented general bank deposits and $20.5 million represented investment related cash. At June 30, 2026, the Company’s U.S. cash balances exceeded FDIC insurance coverage by $4.4 million and exceeded SIPC coverage by $15.1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2015, a new Deposit Insurance System (“DIS”) managed by the People’s Bank of China was implemented by the Chinese government. Deposits in the licensed banks in mainland China are protected by DIS, up to a limit of Chinese Renminbi (“RMB”) 500,000, or approximately $73,412, based on the June 30, 2026 spot exchange rate. The Company maintains cash and deposits in excess of the amount protected by DIS and in the event of bankruptcy of one of these financial institutions, the Company may be unable to claim its deposits back in full. Management believes that these financial institutions are of high credit quality and continually monitors the creditworthiness of these financial institutions. The following table presents the Company's cash balances maintained in mainland China by investment type and the amount (in millions) that exceeded applicable deposit insurance coverage as of June 30, 2026 and December 31, 2025:</w:t>
      </w:r>
    </w:p>
    <w:p>
      <w:pPr>
        <w:pStyle w:val="TextBody"/>
        <w:bidi w:val="0"/>
        <w:spacing w:before="120" w:after="283"/>
        <w:jc w:val="both"/>
        <w:rPr/>
      </w:pPr>
      <w:r>
        <w:rPr/>
        <w:t> </w:t>
      </w:r>
    </w:p>
    <w:tbl>
      <w:tblPr>
        <w:tblW w:w="7399" w:type="dxa"/>
        <w:jc w:val="left"/>
        <w:tblInd w:w="0" w:type="dxa"/>
        <w:tblLayout w:type="fixed"/>
        <w:tblCellMar>
          <w:top w:w="28" w:type="dxa"/>
          <w:left w:w="28" w:type="dxa"/>
          <w:bottom w:w="28" w:type="dxa"/>
          <w:right w:w="28" w:type="dxa"/>
        </w:tblCellMar>
      </w:tblPr>
      <w:tblGrid>
        <w:gridCol w:w="3916"/>
        <w:gridCol w:w="304"/>
        <w:gridCol w:w="971"/>
        <w:gridCol w:w="146"/>
        <w:gridCol w:w="146"/>
        <w:gridCol w:w="411"/>
        <w:gridCol w:w="1314"/>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br/>
              <w:t>(As Recast)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certificates of deposit</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bank deposits</w:t>
            </w:r>
          </w:p>
        </w:tc>
        <w:tc>
          <w:tcPr>
            <w:tcW w:w="12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bank deposits</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exceeding PRC DIS coverage</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Accounts receivable are typically unsecured and are derived from product sales. The Company manages credit risk related to the accounts receivable through ongoing monitoring of outstanding balances and limiting the amount of credit extended based upon payment history and creditworthiness. Historically, the Company has collected receivables from customers within the credit terms with no significant credit losses incurred. Note receivable is also subject to credit risk. The Company monitors the creditworthiness and repayment performance of the borrower on an ongoing basis and has not experienced significant credit losses related to such receivable.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short-term investments include marketable securities. The Company classifies its marketable securities as available-for-sale securities, which include commercial paper, corporate debt securities and U.S. government agency securities. These securities are recorded at fair value with the related unrealized gains and losses included in accumulated other comprehensive loss. Premiums or discounts from par value are amortized to investment income over the life of the underlying investment and are included in ‘interest income’ within the consolidated statements of comprehensive loss. All the Company’s available-for-sale securities are available to the Company for use in current operations. As a result, the Company classified all these securities as current assets even though the stated maturity of some individual securities may be one year or more beyond the balance sheet date. The cost of securities sold is determined on a specific identification basis, and realized gains and losses are included in ‘Net loss’ within the consolidated statements of comprehensive loss. If any adjustment is required to reflect a decline in the value of the investment that the Company considers to be “other than temporary”, the Company recognizes a charge to the consolidated statements of comprehensive loss.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Concentration of Customer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months ended June 30, 2026, following the completion of the Merger with Cullgen, the Company’s revenue consists of (i) pharmaceutical product sales primarily generated through its legacy business and (ii) collaboration-based revenue generated by Cullgen’s operations.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Pharmaceutical Product Sales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three months ended June 30, 2026, the Company had three customers, Sinopharm Group Co., Ltd. ("Sinopharm"), Shanghai Pharmaceuticals Holding Co., Ltd. (“Shanghai Pharmaceuticals”) and China Resources Pharmaceutical Group Ltd. (“Resources Pharmaceutical”), who accounted for approximately 48.7%, 12.2% and 11.6% of total revenue, respectively. For the three months ended June 30, 2025, the Company had three customers, Sinopharm, Resources Pharmaceutical, and Shanghai Pharmaceuticals, who accounted for approximately 48.0%, 11.3% and 11.9% of total revenue, respectively. All customers are located in mainland China.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six months ended June 30, 2026, the Company had three customers, Sinopharm, Shanghai Pharmaceuticals and Resources Pharmaceutical, who accounted for approximately 44.7%, 12.3% and 12.5% of total revenue, respectively. For the six months ended June 30, 2025, the Company had three customers, Sinopharm, Resources Pharmaceutical, and Shanghai Pharmaceuticals, who accounted for approximately 42.0%, 11.2% and 10.4% of total revenue, respectively. All customers are located in mainland China.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Collaboration-Based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Cullgen’s collaboration-based revenue is generated pursuant to a single collaboration agreement with one customer. For the three and six months ended June 30, 2026 and 2025, all of Cullgen’s revenue was derived from this single customer under its collaboration arrangement, as further described in Note 6 to the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and December 31, 2025, the Company had one customer, Sinopharm, who accounted for approximately 45.5% and 53.3% of accounts receivable,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Transactions in subsidiaries are recorded in the functional currency of the respective subsidiary. The determination of functional currency is based on the criteria of Accounting Standard Codification (“ASC”) 830, </w:t>
      </w:r>
      <w:r>
        <w:rPr>
          <w:rFonts w:ascii="Times New Roman" w:hAnsi="Times New Roman"/>
          <w:i/>
          <w:color w:val="000000"/>
          <w:sz w:val="20"/>
        </w:rPr>
        <w:t>Foreign Currency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RMB is not a freely convertible currency. The State Administration for Foreign Exchange, under the authority of the People’s Bank of China, controls the conversion of RMB into other currencies. The value of the RMB is subject to changes in central government policies and to international economic and political developments affecting supply and demand in the China Foreign Exchange Trading System market. 31.5% of the Company’s cash and cash equivalents, 100.0% of the Company’s short-term bank deposits and 100% of the Company's long-term certificates of deposit as of June 30, 2026 in the amount of $13.6 million, $14.1 million and $28.4 million, respectively, were denominated in RMB.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Pronouncements – Recently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July 2025, the Financial Accounting Standards Board (“FASB”) issued Accounting Standards Update (“ASU”) 2025-05, Financial Instruments—Credit Losses (Topic 326): </w:t>
      </w:r>
      <w:r>
        <w:rPr>
          <w:rFonts w:ascii="Times New Roman" w:hAnsi="Times New Roman"/>
          <w:i/>
          <w:color w:val="000000"/>
          <w:sz w:val="20"/>
        </w:rPr>
        <w:t>Measurement of Credit Losses for Accounts Receivable and Contract Assets</w:t>
      </w:r>
      <w:r>
        <w:rPr>
          <w:rFonts w:ascii="Times New Roman" w:hAnsi="Times New Roman"/>
          <w:color w:val="000000"/>
          <w:sz w:val="20"/>
        </w:rPr>
        <w:t xml:space="preserve"> (“ASU 2025-05”). ASU 2025-05 provides a practical expedient for measuring expected credit losses for current accounts receivable and current contract assets that arise from revenue transactions within the scope of ASC 606, permitting an entity to assume that economic conditions as of the balance sheet date will remain unchanged over the remaining life of the financial assets when developing reasonable and supportable forecasts. ASU 2025-05 is effective for annual reporting periods, including interim periods within those annual reporting periods, beginning after December 15, 2025, with early adoption permitted. The amendments in this update should be applied on a prospective basis. The Company adopted the provisions of the amendments as of January 1, 2026. The adoption of this amendment did not have a material impact on the Company’s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Accounting Pronouncements Issued and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October 2023, the FASB issued ASU 2023-06, </w:t>
      </w:r>
      <w:r>
        <w:rPr>
          <w:rFonts w:ascii="Times New Roman" w:hAnsi="Times New Roman"/>
          <w:i/>
          <w:color w:val="000000"/>
          <w:sz w:val="20"/>
        </w:rPr>
        <w:t>Disclosure Improvements: Codification Amendments in Response to the SEC’s Disclosure Update and Simplification Initiative</w:t>
      </w:r>
      <w:r>
        <w:rPr>
          <w:rFonts w:ascii="Times New Roman" w:hAnsi="Times New Roman"/>
          <w:color w:val="000000"/>
          <w:sz w:val="20"/>
        </w:rPr>
        <w:t xml:space="preserve"> (“ASU 2023-06”). ASU 2023-06 modifies the disclosure or presentation requirements of a variety of Topics in the Financial Accounting Standards Codification (the “Codification”). Certain of the amendments represent clarifications to or technical corrections of the current requirements. Because of the variety of Topics amended, a broad range of entities may be affected by one or more of those amendments.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The amendments in this update should be applied prospectively. For all entities, if by June 30, 2027, the SEC has not removed the applicable requirement from Regulation S-X or Regulation S-K, the pending content of the related amendment will be removed from the Codification and will not become effective for any entity. The Company is currently evaluating the potential impact this standard will have on its consolidated financial statements and related disclosures.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Disaggregation of Income Statement Expenses (Subtopic 220-40) </w:t>
      </w:r>
      <w:r>
        <w:rPr>
          <w:rFonts w:ascii="Times New Roman" w:hAnsi="Times New Roman"/>
          <w:color w:val="000000"/>
          <w:sz w:val="20"/>
        </w:rPr>
        <w:t xml:space="preserve">(“ASU 2024-03”).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In January 2025, the FASB issued ASU 2025-01, </w:t>
      </w:r>
      <w:r>
        <w:rPr>
          <w:rFonts w:ascii="Times New Roman" w:hAnsi="Times New Roman"/>
          <w:i/>
          <w:color w:val="000000"/>
          <w:sz w:val="20"/>
        </w:rPr>
        <w:t>Income Statement-Reporting Comprehensive Income-Expense Disaggregation Disclosures (Subtopic 220-40) - Clarifying the Effective Date</w:t>
      </w:r>
      <w:r>
        <w:rPr>
          <w:rFonts w:ascii="Times New Roman" w:hAnsi="Times New Roman"/>
          <w:color w:val="000000"/>
          <w:sz w:val="20"/>
        </w:rPr>
        <w:t xml:space="preserve"> to clarify the effective date of ASU 2024-03 for non-calendar year-end entities. ASU 2024-03 is effective for the Company's fiscal year 2027, and interim periods starting in fiscal year 2028. Early adoption is permitted. The amendments in this ASU are to be applied retrospectively to any or all prior periods presented in the consolidated financial statements. Early adoption is also permitted. This ASU will likely result in the required additional disclosures being included in our consolidated financial statements, once adopted. The Company has elected not to early adopt ASU 2024-03. The Company is currently assessing the impact of the disclosure requirements on its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sz w:val="20"/>
        </w:rPr>
      </w:pPr>
      <w:r>
        <w:rPr>
          <w:rFonts w:ascii="Times New Roman" w:hAnsi="Times New Roman"/>
          <w:color w:val="000000"/>
          <w:sz w:val="20"/>
        </w:rPr>
        <w:t xml:space="preserve">In December 2025, the FASB issued ASU 2025-10, </w:t>
      </w:r>
      <w:r>
        <w:rPr>
          <w:rFonts w:ascii="Times New Roman" w:hAnsi="Times New Roman"/>
          <w:i/>
          <w:color w:val="000000"/>
          <w:sz w:val="20"/>
        </w:rPr>
        <w:t>Government Grants (Topic 832): Accounting for Government Grants Received by Business Entities</w:t>
      </w:r>
      <w:r>
        <w:rPr>
          <w:rFonts w:ascii="Times New Roman" w:hAnsi="Times New Roman"/>
          <w:color w:val="000000"/>
          <w:sz w:val="20"/>
        </w:rPr>
        <w:t>. This ASU provides guidance on the recognition, measurement, presentation and disclosure of government grants received by business entities. The ASU is effective for annual reporting periods beginning after December 15, 2028, and interim reporting periods within those annual periods, with early adoption permitted. The Company has elected not to early adopt ASU 2025-10. The Company is currently evaluating the impact that the adoption of ASU 2025-10 will have on its consolidated financial statements and related disclosures.</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(“ASU 2025-11”). ASU 2025-11 clarifies the applicability of the interim reporting guidance in Topic 270 and improves the navigability and organization of the guidance. The amendments also introduce a principle requiring entities that issue interim financial statements to disclose events and changes occurring after the end of the most recent annual reporting period that are expected to have a material impact on the entity. ASU 2025-11 does not change the recognition or measurement requirements for interim reporting. The ASU is effective for interim reporting periods within annual reporting periods beginning after December 15, 2027 for public business entities, with early adoption permitted. The Company has elected not to early adopt ASU 2025-11. The Company is currently evaluating the potential impact of this guidance on its interim and annual financial statement disclosures.</w:t>
      </w:r>
    </w:p>
    <w:p>
      <w:pPr>
        <w:pStyle w:val="TextBody"/>
        <w:bidi w:val="0"/>
        <w:jc w:val="left"/>
        <w:rPr>
          <w:rFonts w:ascii="Times New Roman" w:hAnsi="Times New Roman"/>
          <w:b/>
          <w:i/>
          <w:color w:val="000000"/>
          <w:sz w:val="20"/>
        </w:rPr>
      </w:pPr>
      <w:r>
        <w:rPr>
          <w:rFonts w:ascii="Times New Roman" w:hAnsi="Times New Roman"/>
          <w:b/>
          <w:i/>
          <w:color w:val="000000"/>
          <w:sz w:val="20"/>
        </w:rPr>
        <w:t>Subsequent Events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accounts for subsequent events in accordance with ASC 855, </w:t>
      </w:r>
      <w:r>
        <w:rPr>
          <w:rFonts w:ascii="Times New Roman" w:hAnsi="Times New Roman"/>
          <w:i/>
          <w:color w:val="000000"/>
          <w:sz w:val="20"/>
        </w:rPr>
        <w:t xml:space="preserve">Subsequent Events, </w:t>
      </w:r>
      <w:r>
        <w:rPr>
          <w:rFonts w:ascii="Times New Roman" w:hAnsi="Times New Roman"/>
          <w:color w:val="000000"/>
          <w:sz w:val="20"/>
        </w:rPr>
        <w:t>which defines subsequent events as events or transactions that occur after the balance sheet date but before the financial statements are issued. Management has evaluated subsequent events through the date the financial statements were issued and filed with the Securities and Exchange Commission.</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877" w:type="dxa"/>
        <w:jc w:val="left"/>
        <w:tblInd w:w="0" w:type="dxa"/>
        <w:tblLayout w:type="fixed"/>
        <w:tblCellMar>
          <w:top w:w="28" w:type="dxa"/>
          <w:left w:w="28" w:type="dxa"/>
          <w:bottom w:w="28" w:type="dxa"/>
          <w:right w:w="28" w:type="dxa"/>
        </w:tblCellMar>
      </w:tblPr>
      <w:tblGrid>
        <w:gridCol w:w="271"/>
        <w:gridCol w:w="4606"/>
      </w:tblGrid>
      <w:tr>
        <w:trPr/>
        <w:tc>
          <w:tcPr>
            <w:tcW w:w="271"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3.</w:t>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Fair Value Measurements and Financial Instruments</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a description of the fair value hierarchy and the fair value methodology, see Note 2 — </w:t>
      </w:r>
      <w:r>
        <w:rPr>
          <w:rFonts w:ascii="Times New Roman" w:hAnsi="Times New Roman"/>
          <w:i/>
          <w:color w:val="000000"/>
          <w:sz w:val="20"/>
        </w:rPr>
        <w:t>Summary of Significant Accounting Policies</w:t>
      </w:r>
      <w:r>
        <w:rPr>
          <w:rFonts w:ascii="Times New Roman" w:hAnsi="Times New Roman"/>
          <w:color w:val="000000"/>
          <w:sz w:val="20"/>
        </w:rPr>
        <w:t xml:space="preserve"> in the Annual Report. There were no significant changes in these methodologies during the six months ended June 30, 2026. As of June 30, 2026, the Company’s highly liquid money market funds are included within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present the fair value hierarchy for financial assets and liabilities measured at fair value on a recurring basis as of June 30, 2026 and December 31, 2025 (in thousands):</w:t>
      </w:r>
    </w:p>
    <w:p>
      <w:pPr>
        <w:pStyle w:val="TextBody"/>
        <w:bidi w:val="0"/>
        <w:jc w:val="left"/>
        <w:rPr/>
      </w:pPr>
      <w:r>
        <w:rPr/>
        <w:t> </w:t>
      </w:r>
    </w:p>
    <w:tbl>
      <w:tblPr>
        <w:tblW w:w="8177" w:type="dxa"/>
        <w:jc w:val="left"/>
        <w:tblInd w:w="0" w:type="dxa"/>
        <w:tblLayout w:type="fixed"/>
        <w:tblCellMar>
          <w:top w:w="28" w:type="dxa"/>
          <w:left w:w="28" w:type="dxa"/>
          <w:bottom w:w="28" w:type="dxa"/>
          <w:right w:w="28" w:type="dxa"/>
        </w:tblCellMar>
      </w:tblPr>
      <w:tblGrid>
        <w:gridCol w:w="3321"/>
        <w:gridCol w:w="146"/>
        <w:gridCol w:w="211"/>
        <w:gridCol w:w="676"/>
        <w:gridCol w:w="146"/>
        <w:gridCol w:w="146"/>
        <w:gridCol w:w="211"/>
        <w:gridCol w:w="676"/>
        <w:gridCol w:w="146"/>
        <w:gridCol w:w="146"/>
        <w:gridCol w:w="211"/>
        <w:gridCol w:w="571"/>
        <w:gridCol w:w="146"/>
        <w:gridCol w:w="146"/>
        <w:gridCol w:w="211"/>
        <w:gridCol w:w="676"/>
        <w:gridCol w:w="391"/>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77" w:type="dxa"/>
        <w:jc w:val="left"/>
        <w:tblInd w:w="0" w:type="dxa"/>
        <w:tblLayout w:type="fixed"/>
        <w:tblCellMar>
          <w:top w:w="28" w:type="dxa"/>
          <w:left w:w="28" w:type="dxa"/>
          <w:bottom w:w="28" w:type="dxa"/>
          <w:right w:w="28" w:type="dxa"/>
        </w:tblCellMar>
      </w:tblPr>
      <w:tblGrid>
        <w:gridCol w:w="3321"/>
        <w:gridCol w:w="146"/>
        <w:gridCol w:w="211"/>
        <w:gridCol w:w="676"/>
        <w:gridCol w:w="146"/>
        <w:gridCol w:w="146"/>
        <w:gridCol w:w="211"/>
        <w:gridCol w:w="676"/>
        <w:gridCol w:w="146"/>
        <w:gridCol w:w="146"/>
        <w:gridCol w:w="211"/>
        <w:gridCol w:w="571"/>
        <w:gridCol w:w="146"/>
        <w:gridCol w:w="146"/>
        <w:gridCol w:w="211"/>
        <w:gridCol w:w="676"/>
        <w:gridCol w:w="391"/>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 (As Recast)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Included in cash and cash equivalents on the accompanying condensed consolidated balance sheets.</w:t>
      </w:r>
    </w:p>
    <w:p>
      <w:pPr>
        <w:pStyle w:val="TextBody"/>
        <w:bidi w:val="0"/>
        <w:spacing w:before="40" w:after="283"/>
        <w:jc w:val="both"/>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The carrying amounts of cash, accounts and note receivables, net, other receivables, accounts payable, due to related parties, and accrued liabilities approximate their fair values due to their short maturities</w:t>
      </w:r>
      <w:r>
        <w:rPr>
          <w:rFonts w:ascii="Aptos;sans-serif" w:hAnsi="Aptos;sans-serif"/>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Money market funds are valued by the Company based on quoted market prices, which represent a Level 1 measurement within the fair value hierarchy. U.S. treasury securities, commercial paper, corporate debt securities and U.S. government agency securities are valued by the Company using quoted prices in active markets for similar securities, which represent a Level 2 measurement within the fair value hierarchy.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six months ended June 30, 2026 and the year ended December 31, 2025, there were no transfers of fair value measurement between Level 1 and Level 2 and no transfers into or out of Level 3 for both financial assets and liabilities.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Warrant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2023, Catalyst entered into a Securities Purchase Agreement for a private placement with GNI USA (the “Private Placement”). Upon closing of the Private Placement, the Company issued 811 shares of Series X Convertible Preferred Stock, par value $0.001 per share (the "Series X Preferred Stock"), and 811 warrants to purchase Series X Preferred Stock (the “Preferred Stock Warrants") to GNI USA for an aggregate purchase price of approximately $5.0 million. The Preferred Stock Warrants are immediately exercisable at an exercise price of $4,915.00 per share of Series X Preferred Stock and expire on October 30, 2033. The number of shares of Common Stock, par value $0.001 per share (“common stock”), issuable upon exercise and conversion of the Preferred Stock Warrants is 540,666. The Company accounted for the Private Placement as a non-arm’s length transaction. The Preferred Stock Warrants were initially recognized at fair value upon issuance and the remaining proceeds from the Private Placement were allocated to the Series X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Preferred Stock Warrants are freestanding financial instruments classified as a warrant liability on the Company’s condensed consolidated balance sheet. The fair value of the Preferred Stock Warrants is subject to uncertainty due to unobservable inputs, including the expected volatility of the Company’s stock price, the likelihood of warrant exercise, and the estimated term of the warrants. Since there is limited market activity for the Preferred Stock Warrants, their fair value is determined using an option pricing model, which incorporates subjective inputs such as the Company’s stock price volatility, derived from historical and peer company data, as well as management’s expectations regarding future performance. As these assumptions evolve due to market conditions or company specific factors, the warrant liability may experience fluctuations. The Preferred Stock Warrants are revalued each reporting period with the change in fair value recorded as change in fair value of warrant liability in other income, net on the consolidated statement of operations and comprehensive income.</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fair value of the warrant liability is estimated based on the Black-Scholes option-pricing model using the following weighted-average assumptions:</w:t>
      </w:r>
    </w:p>
    <w:tbl>
      <w:tblPr>
        <w:tblW w:w="5924" w:type="dxa"/>
        <w:jc w:val="left"/>
        <w:tblInd w:w="0" w:type="dxa"/>
        <w:tblLayout w:type="fixed"/>
        <w:tblCellMar>
          <w:top w:w="28" w:type="dxa"/>
          <w:left w:w="28" w:type="dxa"/>
          <w:bottom w:w="28" w:type="dxa"/>
          <w:right w:w="28" w:type="dxa"/>
        </w:tblCellMar>
      </w:tblPr>
      <w:tblGrid>
        <w:gridCol w:w="1696"/>
        <w:gridCol w:w="229"/>
        <w:gridCol w:w="896"/>
        <w:gridCol w:w="271"/>
        <w:gridCol w:w="146"/>
        <w:gridCol w:w="482"/>
        <w:gridCol w:w="1888"/>
        <w:gridCol w:w="316"/>
      </w:tblGrid>
      <w:tr>
        <w:trPr/>
        <w:tc>
          <w:tcPr>
            <w:tcW w:w="16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 (As Recast)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w:t>
            </w:r>
          </w:p>
        </w:tc>
        <w:tc>
          <w:tcPr>
            <w:tcW w:w="22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27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482"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8"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31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22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48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(years)</w:t>
            </w:r>
          </w:p>
        </w:tc>
        <w:tc>
          <w:tcPr>
            <w:tcW w:w="1125" w:type="dxa"/>
            <w:gridSpan w:val="2"/>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71"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370" w:type="dxa"/>
            <w:gridSpan w:val="2"/>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31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sets forth the changes in the estimated fair value of the Company’s Level 3 financial liabilities (in thousands):</w:t>
      </w:r>
    </w:p>
    <w:tbl>
      <w:tblPr>
        <w:tblW w:w="5409" w:type="dxa"/>
        <w:jc w:val="left"/>
        <w:tblInd w:w="0" w:type="dxa"/>
        <w:tblLayout w:type="fixed"/>
        <w:tblCellMar>
          <w:top w:w="28" w:type="dxa"/>
          <w:left w:w="28" w:type="dxa"/>
          <w:bottom w:w="28" w:type="dxa"/>
          <w:right w:w="28" w:type="dxa"/>
        </w:tblCellMar>
      </w:tblPr>
      <w:tblGrid>
        <w:gridCol w:w="3556"/>
        <w:gridCol w:w="146"/>
        <w:gridCol w:w="146"/>
        <w:gridCol w:w="364"/>
        <w:gridCol w:w="986"/>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 (As Recast)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Financial Instruments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Cash equivalents, available-for-sale, and held-to-maturity debt securities consisted of the following (in thousands):</w:t>
      </w:r>
    </w:p>
    <w:p>
      <w:pPr>
        <w:pStyle w:val="TextBody"/>
        <w:bidi w:val="0"/>
        <w:jc w:val="both"/>
        <w:rPr/>
      </w:pPr>
      <w:r>
        <w:rPr/>
        <w:t> </w:t>
      </w:r>
    </w:p>
    <w:tbl>
      <w:tblPr>
        <w:tblW w:w="9300" w:type="dxa"/>
        <w:jc w:val="left"/>
        <w:tblInd w:w="0" w:type="dxa"/>
        <w:tblLayout w:type="fixed"/>
        <w:tblCellMar>
          <w:top w:w="28" w:type="dxa"/>
          <w:left w:w="28" w:type="dxa"/>
          <w:bottom w:w="28" w:type="dxa"/>
          <w:right w:w="28" w:type="dxa"/>
        </w:tblCellMar>
      </w:tblPr>
      <w:tblGrid>
        <w:gridCol w:w="4381"/>
        <w:gridCol w:w="146"/>
        <w:gridCol w:w="211"/>
        <w:gridCol w:w="676"/>
        <w:gridCol w:w="146"/>
        <w:gridCol w:w="146"/>
        <w:gridCol w:w="285"/>
        <w:gridCol w:w="571"/>
        <w:gridCol w:w="146"/>
        <w:gridCol w:w="146"/>
        <w:gridCol w:w="307"/>
        <w:gridCol w:w="549"/>
        <w:gridCol w:w="166"/>
        <w:gridCol w:w="146"/>
        <w:gridCol w:w="211"/>
        <w:gridCol w:w="676"/>
        <w:gridCol w:w="3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bank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bank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9280" w:type="dxa"/>
        <w:jc w:val="left"/>
        <w:tblInd w:w="0" w:type="dxa"/>
        <w:tblLayout w:type="fixed"/>
        <w:tblCellMar>
          <w:top w:w="28" w:type="dxa"/>
          <w:left w:w="28" w:type="dxa"/>
          <w:bottom w:w="28" w:type="dxa"/>
          <w:right w:w="28" w:type="dxa"/>
        </w:tblCellMar>
      </w:tblPr>
      <w:tblGrid>
        <w:gridCol w:w="4381"/>
        <w:gridCol w:w="146"/>
        <w:gridCol w:w="211"/>
        <w:gridCol w:w="676"/>
        <w:gridCol w:w="146"/>
        <w:gridCol w:w="146"/>
        <w:gridCol w:w="285"/>
        <w:gridCol w:w="571"/>
        <w:gridCol w:w="146"/>
        <w:gridCol w:w="146"/>
        <w:gridCol w:w="324"/>
        <w:gridCol w:w="532"/>
        <w:gridCol w:w="146"/>
        <w:gridCol w:w="146"/>
        <w:gridCol w:w="211"/>
        <w:gridCol w:w="676"/>
        <w:gridCol w:w="3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 (As Recast)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bank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bank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and amortized cost of the Company's held-to-maturity debt securities by redemption date were as follows:</w:t>
      </w:r>
    </w:p>
    <w:p>
      <w:pPr>
        <w:pStyle w:val="TextBody"/>
        <w:bidi w:val="0"/>
        <w:jc w:val="both"/>
        <w:rPr/>
      </w:pPr>
      <w:r>
        <w:rPr/>
        <w:t> </w:t>
      </w:r>
    </w:p>
    <w:tbl>
      <w:tblPr>
        <w:tblW w:w="4802" w:type="dxa"/>
        <w:jc w:val="left"/>
        <w:tblInd w:w="0" w:type="dxa"/>
        <w:tblLayout w:type="fixed"/>
        <w:tblCellMar>
          <w:top w:w="28" w:type="dxa"/>
          <w:left w:w="28" w:type="dxa"/>
          <w:bottom w:w="28" w:type="dxa"/>
          <w:right w:w="28" w:type="dxa"/>
        </w:tblCellMar>
      </w:tblPr>
      <w:tblGrid>
        <w:gridCol w:w="2041"/>
        <w:gridCol w:w="146"/>
        <w:gridCol w:w="296"/>
        <w:gridCol w:w="949"/>
        <w:gridCol w:w="146"/>
        <w:gridCol w:w="146"/>
        <w:gridCol w:w="211"/>
        <w:gridCol w:w="676"/>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to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 income from the short-term bank deposits is recognized on an accrual basis over the term of the deposits. The accrued interest income for the three months ended June 30, 2026 and 2025 was $0.1 million and $0.1 million, respectively. The accrued interest income for the six months ended June 30, 2026 and 2025 was $0.2 million and $0.3 million,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 income from the long-term certificates of deposit is recognized on an accrual basis over the term of the deposits. The accrued interest income for the three months ended June 30, 2026 and 2025 was $0.2 million and $0.2 million, respectively. The accrued interest income for the six months ended June 30, 2026 and 2025 was $0.3 million and $0.3 million, respectively. </w:t>
      </w:r>
    </w:p>
    <w:p>
      <w:pPr>
        <w:pStyle w:val="TextBody"/>
        <w:bidi w:val="0"/>
        <w:jc w:val="left"/>
        <w:rPr/>
      </w:pPr>
      <w:r>
        <w:rPr/>
        <w:t> </w:t>
      </w:r>
    </w:p>
    <w:p>
      <w:pPr>
        <w:pStyle w:val="TextBody"/>
        <w:bidi w:val="0"/>
        <w:jc w:val="both"/>
        <w:rPr/>
      </w:pPr>
      <w:r>
        <w:rPr/>
        <w:t> </w:t>
      </w:r>
    </w:p>
    <w:tbl>
      <w:tblPr>
        <w:tblW w:w="2702" w:type="dxa"/>
        <w:jc w:val="left"/>
        <w:tblInd w:w="0" w:type="dxa"/>
        <w:tblLayout w:type="fixed"/>
        <w:tblCellMar>
          <w:top w:w="28" w:type="dxa"/>
          <w:left w:w="28" w:type="dxa"/>
          <w:bottom w:w="28" w:type="dxa"/>
          <w:right w:w="28" w:type="dxa"/>
        </w:tblCellMar>
      </w:tblPr>
      <w:tblGrid>
        <w:gridCol w:w="271"/>
        <w:gridCol w:w="2431"/>
      </w:tblGrid>
      <w:tr>
        <w:trPr/>
        <w:tc>
          <w:tcPr>
            <w:tcW w:w="27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4.</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Components</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Inventories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Inventories as of June 30, 2026 and December 31, 2025, respectively, consisted of the following components (in thousands):</w:t>
      </w:r>
    </w:p>
    <w:tbl>
      <w:tblPr>
        <w:tblW w:w="5175" w:type="dxa"/>
        <w:jc w:val="left"/>
        <w:tblInd w:w="0" w:type="dxa"/>
        <w:tblLayout w:type="fixed"/>
        <w:tblCellMar>
          <w:top w:w="28" w:type="dxa"/>
          <w:left w:w="28" w:type="dxa"/>
          <w:bottom w:w="28" w:type="dxa"/>
          <w:right w:w="28" w:type="dxa"/>
        </w:tblCellMar>
      </w:tblPr>
      <w:tblGrid>
        <w:gridCol w:w="1501"/>
        <w:gridCol w:w="146"/>
        <w:gridCol w:w="303"/>
        <w:gridCol w:w="972"/>
        <w:gridCol w:w="146"/>
        <w:gridCol w:w="146"/>
        <w:gridCol w:w="420"/>
        <w:gridCol w:w="1350"/>
        <w:gridCol w:w="19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December 31, 2025 </w:t>
              <w:br/>
              <w:t>(As Recast)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w:t>
            </w:r>
          </w:p>
        </w:tc>
        <w:tc>
          <w:tcPr>
            <w:tcW w:w="14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9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8940" w:type="dxa"/>
        <w:jc w:val="left"/>
        <w:tblInd w:w="0" w:type="dxa"/>
        <w:tblLayout w:type="fixed"/>
        <w:tblCellMar>
          <w:top w:w="28" w:type="dxa"/>
          <w:left w:w="28" w:type="dxa"/>
          <w:bottom w:w="28" w:type="dxa"/>
          <w:right w:w="28" w:type="dxa"/>
        </w:tblCellMar>
      </w:tblPr>
      <w:tblGrid>
        <w:gridCol w:w="5266"/>
        <w:gridCol w:w="146"/>
        <w:gridCol w:w="303"/>
        <w:gridCol w:w="972"/>
        <w:gridCol w:w="146"/>
        <w:gridCol w:w="146"/>
        <w:gridCol w:w="420"/>
        <w:gridCol w:w="1350"/>
        <w:gridCol w:w="19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December 31, 2025 </w:t>
              <w:br/>
              <w:t>(As Recast)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welfare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 to property and equipment &amp; intangible asset suppliers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rebates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 to selling expense suppliers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 research and development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government grants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reimbursement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individual income tax on employee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9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Accounts and Note Receivables, Net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Accounts and note receivables, net consisted of the following (in thousands):</w:t>
      </w:r>
    </w:p>
    <w:tbl>
      <w:tblPr>
        <w:tblW w:w="6855" w:type="dxa"/>
        <w:jc w:val="left"/>
        <w:tblInd w:w="0" w:type="dxa"/>
        <w:tblLayout w:type="fixed"/>
        <w:tblCellMar>
          <w:top w:w="28" w:type="dxa"/>
          <w:left w:w="28" w:type="dxa"/>
          <w:bottom w:w="28" w:type="dxa"/>
          <w:right w:w="28" w:type="dxa"/>
        </w:tblCellMar>
      </w:tblPr>
      <w:tblGrid>
        <w:gridCol w:w="3041"/>
        <w:gridCol w:w="146"/>
        <w:gridCol w:w="303"/>
        <w:gridCol w:w="972"/>
        <w:gridCol w:w="166"/>
        <w:gridCol w:w="146"/>
        <w:gridCol w:w="420"/>
        <w:gridCol w:w="1350"/>
        <w:gridCol w:w="311"/>
      </w:tblGrid>
      <w:tr>
        <w:trPr/>
        <w:tc>
          <w:tcPr>
            <w:tcW w:w="3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December 31, 2025 </w:t>
              <w:br/>
              <w:t>(As Recast)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28,079</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31,229</w:t>
            </w:r>
          </w:p>
        </w:tc>
        <w:tc>
          <w:tcPr>
            <w:tcW w:w="3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11" w:type="dxa"/>
            <w:tcBorders>
              <w:bottom w:val="single" w:sz="4" w:space="0" w:color="000000"/>
            </w:tcBorders>
            <w:shd w:fill="CA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and note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Property and equipment, net consisted of the following (in thousands):</w:t>
      </w:r>
    </w:p>
    <w:tbl>
      <w:tblPr>
        <w:tblW w:w="6780" w:type="dxa"/>
        <w:jc w:val="left"/>
        <w:tblInd w:w="0" w:type="dxa"/>
        <w:tblLayout w:type="fixed"/>
        <w:tblCellMar>
          <w:top w:w="28" w:type="dxa"/>
          <w:left w:w="28" w:type="dxa"/>
          <w:bottom w:w="28" w:type="dxa"/>
          <w:right w:w="28" w:type="dxa"/>
        </w:tblCellMar>
      </w:tblPr>
      <w:tblGrid>
        <w:gridCol w:w="2866"/>
        <w:gridCol w:w="146"/>
        <w:gridCol w:w="284"/>
        <w:gridCol w:w="991"/>
        <w:gridCol w:w="166"/>
        <w:gridCol w:w="146"/>
        <w:gridCol w:w="394"/>
        <w:gridCol w:w="1376"/>
        <w:gridCol w:w="41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December 31, 2025 </w:t>
              <w:br/>
              <w:t>(As Recast)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electronic devices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Motor 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Depreciation expense was $1.1 million and $0.8 million for the three months ended June 30, 2026 and 2025, respectively. Depreciation expense was $1.8 million and $1.3 million for the six months ended June 30, 2026 and 2025, respectively.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Prepaid Assets and Other Current Assets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Prepaid assets and other current assets consisted of the following (in thousands):</w:t>
      </w:r>
    </w:p>
    <w:tbl>
      <w:tblPr>
        <w:tblW w:w="7420" w:type="dxa"/>
        <w:jc w:val="left"/>
        <w:tblInd w:w="0" w:type="dxa"/>
        <w:tblLayout w:type="fixed"/>
        <w:tblCellMar>
          <w:top w:w="28" w:type="dxa"/>
          <w:left w:w="28" w:type="dxa"/>
          <w:bottom w:w="28" w:type="dxa"/>
          <w:right w:w="28" w:type="dxa"/>
        </w:tblCellMar>
      </w:tblPr>
      <w:tblGrid>
        <w:gridCol w:w="3546"/>
        <w:gridCol w:w="146"/>
        <w:gridCol w:w="344"/>
        <w:gridCol w:w="931"/>
        <w:gridCol w:w="146"/>
        <w:gridCol w:w="146"/>
        <w:gridCol w:w="477"/>
        <w:gridCol w:w="1293"/>
        <w:gridCol w:w="391"/>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December 31, 2025 </w:t>
              <w:br/>
              <w:t>(As Recast)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transaction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VAT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tax recoverable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Advances to suppliers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Assets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Assets, Noncurrent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Other assets, noncurrent consisted of the following (in thousands):</w:t>
      </w:r>
    </w:p>
    <w:tbl>
      <w:tblPr>
        <w:tblW w:w="6130" w:type="dxa"/>
        <w:jc w:val="left"/>
        <w:tblInd w:w="0" w:type="dxa"/>
        <w:tblLayout w:type="fixed"/>
        <w:tblCellMar>
          <w:top w:w="28" w:type="dxa"/>
          <w:left w:w="28" w:type="dxa"/>
          <w:bottom w:w="28" w:type="dxa"/>
          <w:right w:w="28" w:type="dxa"/>
        </w:tblCellMar>
      </w:tblPr>
      <w:tblGrid>
        <w:gridCol w:w="2256"/>
        <w:gridCol w:w="146"/>
        <w:gridCol w:w="344"/>
        <w:gridCol w:w="931"/>
        <w:gridCol w:w="146"/>
        <w:gridCol w:w="146"/>
        <w:gridCol w:w="477"/>
        <w:gridCol w:w="1293"/>
        <w:gridCol w:w="391"/>
      </w:tblGrid>
      <w:tr>
        <w:trPr/>
        <w:tc>
          <w:tcPr>
            <w:tcW w:w="2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December 31, 2025 </w:t>
              <w:br/>
              <w:t>(As Recast)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use rights,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Long-Term Investment Measured Under Equity Method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June 28, 2024, Gyre Pharmaceuticals entered into a partnership agreement as a limited partner with other investors and is obligated to pay $4.4 million for an 18.93% equity interest in the partnership. In April 2025, a new investor joined the partnership agreement, and as a result, Gyre Pharmaceuticals’ equity interest was adjusted to 18.35%. Pursuant to the partnership agreement, Gyre Pharmaceuticals, as a limited partner, shall not participate in any activities related to the management of the investment business. However, Gyre Pharmaceuticals may appoint a member to the advisory committee of the partnership.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 Company's total investment into the partnership was $1.8 million and $1.7 million, respectively, and the carrying value of the Company’s long-term investment in this affiliate, which was included in “Other assets, noncurrent” on the balance sheet, was $1.6 million and $1.6 million, respectively.</w:t>
      </w:r>
    </w:p>
    <w:p>
      <w:pPr>
        <w:pStyle w:val="TextBody"/>
        <w:bidi w:val="0"/>
        <w:jc w:val="both"/>
        <w:rPr/>
      </w:pPr>
      <w:r>
        <w:rPr/>
        <w:t> </w:t>
      </w:r>
    </w:p>
    <w:tbl>
      <w:tblPr>
        <w:tblW w:w="1847" w:type="dxa"/>
        <w:jc w:val="left"/>
        <w:tblInd w:w="0" w:type="dxa"/>
        <w:tblLayout w:type="fixed"/>
        <w:tblCellMar>
          <w:top w:w="28" w:type="dxa"/>
          <w:left w:w="28" w:type="dxa"/>
          <w:bottom w:w="28" w:type="dxa"/>
          <w:right w:w="28" w:type="dxa"/>
        </w:tblCellMar>
      </w:tblPr>
      <w:tblGrid>
        <w:gridCol w:w="271"/>
        <w:gridCol w:w="1576"/>
      </w:tblGrid>
      <w:tr>
        <w:trPr/>
        <w:tc>
          <w:tcPr>
            <w:tcW w:w="27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w:t>
            </w:r>
          </w:p>
        </w:tc>
      </w:tr>
    </w:tbl>
    <w:p>
      <w:pPr>
        <w:pStyle w:val="TextBody"/>
        <w:bidi w:val="0"/>
        <w:spacing w:before="120" w:after="283"/>
        <w:jc w:val="both"/>
        <w:rPr>
          <w:rFonts w:ascii="Times New Roman" w:hAnsi="Times New Roman"/>
          <w:sz w:val="20"/>
        </w:rPr>
      </w:pPr>
      <w:r>
        <w:rPr>
          <w:rFonts w:ascii="Times New Roman" w:hAnsi="Times New Roman"/>
          <w:color w:val="000000"/>
          <w:sz w:val="20"/>
        </w:rPr>
        <w:t>Intangible assets with finite lives consist primarily of patents, technological know-how, computer software, and technology rights. Technology rights refer to the intellectual property (“IP”) associated with Etorel</w:t>
      </w:r>
      <w:r>
        <w:rPr>
          <w:rFonts w:ascii="Times New Roman" w:hAnsi="Times New Roman"/>
          <w:color w:val="000000"/>
          <w:sz w:val="13"/>
        </w:rPr>
        <w:t>TM</w:t>
      </w:r>
      <w:r>
        <w:rPr>
          <w:rFonts w:ascii="Times New Roman" w:hAnsi="Times New Roman"/>
          <w:color w:val="000000"/>
          <w:sz w:val="20"/>
        </w:rPr>
        <w:t xml:space="preserve"> (nintedanib, ethanesulfonate soft capsules) (the “Etorel</w:t>
      </w:r>
      <w:r>
        <w:rPr>
          <w:rFonts w:ascii="Times New Roman" w:hAnsi="Times New Roman"/>
          <w:color w:val="000000"/>
          <w:sz w:val="13"/>
        </w:rPr>
        <w:t>TM</w:t>
      </w:r>
      <w:r>
        <w:rPr>
          <w:rFonts w:ascii="Times New Roman" w:hAnsi="Times New Roman"/>
          <w:color w:val="000000"/>
          <w:sz w:val="20"/>
        </w:rPr>
        <w:t xml:space="preserve"> IP Rights”), which were obtained upon the successful transfer of the marketing authorization holder following approval by the PRC National Medical Products Administration (the “NMPA”) in March 2025, and the commercial sales of Etorel</w:t>
      </w:r>
      <w:r>
        <w:rPr>
          <w:rFonts w:ascii="Times New Roman" w:hAnsi="Times New Roman"/>
          <w:color w:val="000000"/>
          <w:sz w:val="13"/>
        </w:rPr>
        <w:t>TM</w:t>
      </w:r>
      <w:r>
        <w:rPr>
          <w:rFonts w:ascii="Times New Roman" w:hAnsi="Times New Roman"/>
          <w:color w:val="000000"/>
          <w:sz w:val="20"/>
        </w:rPr>
        <w:t xml:space="preserve"> commenced in June 2025. As of June 30, 2026, the Company recognized the total consideration for the Etorel</w:t>
      </w:r>
      <w:r>
        <w:rPr>
          <w:rFonts w:ascii="Times New Roman" w:hAnsi="Times New Roman"/>
          <w:color w:val="000000"/>
          <w:sz w:val="13"/>
        </w:rPr>
        <w:t>TM</w:t>
      </w:r>
      <w:r>
        <w:rPr>
          <w:rFonts w:ascii="Times New Roman" w:hAnsi="Times New Roman"/>
          <w:color w:val="000000"/>
          <w:sz w:val="20"/>
        </w:rPr>
        <w:t xml:space="preserve"> technology rights in the amount of RMB 35.0 million, or approximately $5.1 million, based on the June 30, 2026 spot exchange rate.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gross carrying amounts and accumulated amortization of the Company’s intangible assets with determinable lives as of June 30, 2026 and December 31, 2025 were as follows (in thousands):</w:t>
      </w:r>
    </w:p>
    <w:p>
      <w:pPr>
        <w:pStyle w:val="TextBody"/>
        <w:bidi w:val="0"/>
        <w:jc w:val="both"/>
        <w:rPr/>
      </w:pPr>
      <w:r>
        <w:rPr/>
        <w:t> </w:t>
      </w:r>
    </w:p>
    <w:tbl>
      <w:tblPr>
        <w:tblW w:w="9437" w:type="dxa"/>
        <w:jc w:val="left"/>
        <w:tblInd w:w="0" w:type="dxa"/>
        <w:tblLayout w:type="fixed"/>
        <w:tblCellMar>
          <w:top w:w="28" w:type="dxa"/>
          <w:left w:w="28" w:type="dxa"/>
          <w:bottom w:w="28" w:type="dxa"/>
          <w:right w:w="28" w:type="dxa"/>
        </w:tblCellMar>
      </w:tblPr>
      <w:tblGrid>
        <w:gridCol w:w="2851"/>
        <w:gridCol w:w="146"/>
        <w:gridCol w:w="485"/>
        <w:gridCol w:w="1315"/>
        <w:gridCol w:w="146"/>
        <w:gridCol w:w="146"/>
        <w:gridCol w:w="510"/>
        <w:gridCol w:w="1530"/>
        <w:gridCol w:w="166"/>
        <w:gridCol w:w="146"/>
        <w:gridCol w:w="431"/>
        <w:gridCol w:w="1174"/>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Intangible assets, net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with finite lives: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Technological know-how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437" w:type="dxa"/>
        <w:jc w:val="left"/>
        <w:tblInd w:w="0" w:type="dxa"/>
        <w:tblLayout w:type="fixed"/>
        <w:tblCellMar>
          <w:top w:w="28" w:type="dxa"/>
          <w:left w:w="28" w:type="dxa"/>
          <w:bottom w:w="28" w:type="dxa"/>
          <w:right w:w="28" w:type="dxa"/>
        </w:tblCellMar>
      </w:tblPr>
      <w:tblGrid>
        <w:gridCol w:w="2851"/>
        <w:gridCol w:w="146"/>
        <w:gridCol w:w="485"/>
        <w:gridCol w:w="1315"/>
        <w:gridCol w:w="146"/>
        <w:gridCol w:w="146"/>
        <w:gridCol w:w="510"/>
        <w:gridCol w:w="1530"/>
        <w:gridCol w:w="166"/>
        <w:gridCol w:w="146"/>
        <w:gridCol w:w="431"/>
        <w:gridCol w:w="1174"/>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 (As Recast)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Intangible assets, net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with finite lives: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Technological know-how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Intangible assets are carried at cost less accumulated amortization and impairment, if applicable, and the amortization expense is recorded in operating expenses. The weighted average amortization period for the intangible assets was 6.5 years as of June 30, 2026, compared to 7.0 years as of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Amortization expense was $179 thousand and $167 thousand for the three months ended June 30, 2026 and 2025, respectively. Amortization expense was $354 thousand and $234 thousand for the six months ended June 30, 2026 and 2025, respectively. Based on finite-lived intangible assets recorded as of June 30, 2026, the estimated future amortization expense is as follows (in thousands):</w:t>
      </w:r>
    </w:p>
    <w:p>
      <w:pPr>
        <w:pStyle w:val="TextBody"/>
        <w:bidi w:val="0"/>
        <w:jc w:val="both"/>
        <w:rPr/>
      </w:pPr>
      <w:r>
        <w:rPr/>
        <w:t> </w:t>
      </w:r>
    </w:p>
    <w:tbl>
      <w:tblPr>
        <w:tblW w:w="3698" w:type="dxa"/>
        <w:jc w:val="left"/>
        <w:tblInd w:w="0" w:type="dxa"/>
        <w:tblLayout w:type="fixed"/>
        <w:tblCellMar>
          <w:top w:w="28" w:type="dxa"/>
          <w:left w:w="28" w:type="dxa"/>
          <w:bottom w:w="28" w:type="dxa"/>
          <w:right w:w="28" w:type="dxa"/>
        </w:tblCellMar>
      </w:tblPr>
      <w:tblGrid>
        <w:gridCol w:w="946"/>
        <w:gridCol w:w="146"/>
        <w:gridCol w:w="650"/>
        <w:gridCol w:w="1765"/>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amortization 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9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142" w:type="dxa"/>
        <w:jc w:val="left"/>
        <w:tblInd w:w="0" w:type="dxa"/>
        <w:tblLayout w:type="fixed"/>
        <w:tblCellMar>
          <w:top w:w="28" w:type="dxa"/>
          <w:left w:w="28" w:type="dxa"/>
          <w:bottom w:w="28" w:type="dxa"/>
          <w:right w:w="28" w:type="dxa"/>
        </w:tblCellMar>
      </w:tblPr>
      <w:tblGrid>
        <w:gridCol w:w="271"/>
        <w:gridCol w:w="871"/>
      </w:tblGrid>
      <w:tr>
        <w:trPr/>
        <w:tc>
          <w:tcPr>
            <w:tcW w:w="2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Company’s product revenues were mainly generated from the sale of ETUARY</w:t>
      </w:r>
      <w:r>
        <w:rPr>
          <w:rFonts w:ascii="Times New Roman" w:hAnsi="Times New Roman"/>
          <w:color w:val="000000"/>
          <w:sz w:val="13"/>
        </w:rPr>
        <w:t>TM</w:t>
      </w:r>
      <w:r>
        <w:rPr>
          <w:rFonts w:ascii="Times New Roman" w:hAnsi="Times New Roman"/>
          <w:color w:val="000000"/>
          <w:sz w:val="20"/>
        </w:rPr>
        <w:t>. The Company launched two new products: Contiva</w:t>
      </w:r>
      <w:r>
        <w:rPr>
          <w:rFonts w:ascii="Times New Roman" w:hAnsi="Times New Roman"/>
          <w:color w:val="000000"/>
          <w:sz w:val="13"/>
        </w:rPr>
        <w:t>TM</w:t>
      </w:r>
      <w:r>
        <w:rPr>
          <w:rFonts w:ascii="Times New Roman" w:hAnsi="Times New Roman"/>
          <w:color w:val="000000"/>
          <w:sz w:val="20"/>
        </w:rPr>
        <w:t xml:space="preserve"> (avatrombopag maleate tablets), which commenced commercialization in March 2025, and Etorel</w:t>
      </w:r>
      <w:r>
        <w:rPr>
          <w:rFonts w:ascii="Times New Roman" w:hAnsi="Times New Roman"/>
          <w:color w:val="000000"/>
          <w:sz w:val="13"/>
        </w:rPr>
        <w:t>TM</w:t>
      </w:r>
      <w:r>
        <w:rPr>
          <w:rFonts w:ascii="Times New Roman" w:hAnsi="Times New Roman"/>
          <w:color w:val="000000"/>
          <w:sz w:val="20"/>
        </w:rPr>
        <w:t>, which commenced commercialization in June 2025. The Company also generated collaboration revenue from a collaboration agreement with a strategic partner. Collaboration revenue consists primarily of upfront nonrefundable payments and reimbursements for research and development services performed under these arrangements. The following table summarizes the composition of Company's revenues for the three and six months ended June 30, 2026 and 2025 (in thousands):</w:t>
      </w:r>
    </w:p>
    <w:p>
      <w:pPr>
        <w:pStyle w:val="TextBody"/>
        <w:bidi w:val="0"/>
        <w:jc w:val="both"/>
        <w:rPr/>
      </w:pPr>
      <w:r>
        <w:rPr/>
        <w:t> </w:t>
      </w:r>
    </w:p>
    <w:tbl>
      <w:tblPr>
        <w:tblW w:w="10213" w:type="dxa"/>
        <w:jc w:val="left"/>
        <w:tblInd w:w="0" w:type="dxa"/>
        <w:tblLayout w:type="fixed"/>
        <w:tblCellMar>
          <w:top w:w="28" w:type="dxa"/>
          <w:left w:w="28" w:type="dxa"/>
          <w:bottom w:w="28" w:type="dxa"/>
          <w:right w:w="28" w:type="dxa"/>
        </w:tblCellMar>
      </w:tblPr>
      <w:tblGrid>
        <w:gridCol w:w="1336"/>
        <w:gridCol w:w="146"/>
        <w:gridCol w:w="211"/>
        <w:gridCol w:w="676"/>
        <w:gridCol w:w="146"/>
        <w:gridCol w:w="146"/>
        <w:gridCol w:w="146"/>
        <w:gridCol w:w="466"/>
        <w:gridCol w:w="271"/>
        <w:gridCol w:w="146"/>
        <w:gridCol w:w="211"/>
        <w:gridCol w:w="676"/>
        <w:gridCol w:w="146"/>
        <w:gridCol w:w="146"/>
        <w:gridCol w:w="146"/>
        <w:gridCol w:w="466"/>
        <w:gridCol w:w="271"/>
        <w:gridCol w:w="146"/>
        <w:gridCol w:w="211"/>
        <w:gridCol w:w="676"/>
        <w:gridCol w:w="146"/>
        <w:gridCol w:w="146"/>
        <w:gridCol w:w="146"/>
        <w:gridCol w:w="466"/>
        <w:gridCol w:w="271"/>
        <w:gridCol w:w="146"/>
        <w:gridCol w:w="211"/>
        <w:gridCol w:w="676"/>
        <w:gridCol w:w="146"/>
        <w:gridCol w:w="146"/>
        <w:gridCol w:w="146"/>
        <w:gridCol w:w="466"/>
        <w:gridCol w:w="316"/>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 Composition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ETUARY</w:t>
            </w:r>
            <w:r>
              <w:rPr>
                <w:rFonts w:ascii="Times New Roman" w:hAnsi="Times New Roman"/>
                <w:color w:val="000000"/>
                <w:sz w:val="13"/>
              </w:rPr>
              <w:t>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Contiva</w:t>
            </w:r>
            <w:r>
              <w:rPr>
                <w:rFonts w:ascii="Times New Roman" w:hAnsi="Times New Roman"/>
                <w:color w:val="000000"/>
                <w:sz w:val="13"/>
              </w:rPr>
              <w:t>TM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Etorel</w:t>
            </w:r>
            <w:r>
              <w:rPr>
                <w:rFonts w:ascii="Times New Roman" w:hAnsi="Times New Roman"/>
                <w:color w:val="000000"/>
                <w:sz w:val="13"/>
              </w:rPr>
              <w:t>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Sales of Pharmaceutical Products</w:t>
      </w:r>
    </w:p>
    <w:p>
      <w:pPr>
        <w:pStyle w:val="TextBody"/>
        <w:bidi w:val="0"/>
        <w:spacing w:before="120" w:after="283"/>
        <w:jc w:val="both"/>
        <w:rPr>
          <w:rFonts w:ascii="Times New Roman" w:hAnsi="Times New Roman"/>
          <w:sz w:val="20"/>
        </w:rPr>
      </w:pPr>
      <w:r>
        <w:rPr>
          <w:rFonts w:ascii="Times New Roman" w:hAnsi="Times New Roman"/>
          <w:color w:val="000000"/>
          <w:sz w:val="20"/>
        </w:rPr>
        <w:t>The Company generates revenue mostly through sales of ETUARY</w:t>
      </w:r>
      <w:r>
        <w:rPr>
          <w:rFonts w:ascii="Times New Roman" w:hAnsi="Times New Roman"/>
          <w:color w:val="000000"/>
          <w:sz w:val="13"/>
        </w:rPr>
        <w:t>TM</w:t>
      </w:r>
      <w:r>
        <w:rPr>
          <w:rFonts w:ascii="Times New Roman" w:hAnsi="Times New Roman"/>
          <w:color w:val="000000"/>
          <w:sz w:val="20"/>
        </w:rPr>
        <w:t>, Contiva</w:t>
      </w:r>
      <w:r>
        <w:rPr>
          <w:rFonts w:ascii="Times New Roman" w:hAnsi="Times New Roman"/>
          <w:color w:val="000000"/>
          <w:sz w:val="13"/>
        </w:rPr>
        <w:t>TM</w:t>
      </w:r>
      <w:r>
        <w:rPr>
          <w:rFonts w:ascii="Times New Roman" w:hAnsi="Times New Roman"/>
          <w:color w:val="000000"/>
          <w:sz w:val="20"/>
        </w:rPr>
        <w:t>, Etorel</w:t>
      </w:r>
      <w:r>
        <w:rPr>
          <w:rFonts w:ascii="Times New Roman" w:hAnsi="Times New Roman"/>
          <w:color w:val="000000"/>
          <w:sz w:val="13"/>
        </w:rPr>
        <w:t>TM</w:t>
      </w:r>
      <w:r>
        <w:rPr>
          <w:rFonts w:ascii="Times New Roman" w:hAnsi="Times New Roman"/>
          <w:color w:val="000000"/>
          <w:sz w:val="20"/>
        </w:rPr>
        <w:t xml:space="preserve"> and certain generic drugs. The distributors were the Company’s direct customers, and sales to distributors accounted for 100.0% of pharmaceutical products revenue. The distributors sell pharmaceutical products to outlets, including hospitals and other medical institutions, as well as pharmacies.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returns to date have not been significant and the Company has not considered it necessary to record a reserve for product returns. The Company’s product revenues were recognized at a point in time when the underlying product was delivered to the customer, which was when the customer obtained control of the product. Revenue from sales of pharmaceutical products was $29.1 million and $26.8 million for the three months ended June 30, 2026 and 2025, respectively. Revenue from sales of pharmaceutical products was $51.6 million and $48.8 million for the six months ended June 30, 2026 and 2025, respectively. All sales are generated in the PRC. Contract liabilities recognized for the three and six months ended June 30, 2026 were immaterial.</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Collaborations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2023, Cullgen entered into a Collaboration, Option and License Agreement (the “Astellas Agreement”) with Astellas Pharma Inc. to discover multiple innovative protein degraders, including cell cycle and DNA repair degraders. Upon execution of the agreement, Cullgen received a nonrefundable upfront payment and is entitled to reimbursement for research and development services performed under the agreement. The Astellas Agreement ended in March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determined that the Astellas Agreement is within the scope of ASC 606 and identified two performance obligations related to the pre-exercise research activities for the cell cycle and DNA repair programs. The upfront payment was allocated to the performance obligations based on their relative standalone selling prices. Revenue associated with the upfront payment and research reimbursements is recognized over time using a cost-based measure of progress.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liabilities primarily consist of the unrecognized portion of the upfront payment received under the Astellas Agreement and are recognized as revenue as the related performance obligations are satisfied. Contract liabilities as of June 30, 2026 related to the Astellas Agreement were immaterial. Contract liabilities were $1.0 million as of December 31, 2025, and the Company recognized $1.0 million in revenue from the contract liabilities during the six months ended June 30, 2026.</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2" w:type="dxa"/>
        <w:jc w:val="left"/>
        <w:tblInd w:w="0" w:type="dxa"/>
        <w:tblLayout w:type="fixed"/>
        <w:tblCellMar>
          <w:top w:w="28" w:type="dxa"/>
          <w:left w:w="28" w:type="dxa"/>
          <w:bottom w:w="28" w:type="dxa"/>
          <w:right w:w="28" w:type="dxa"/>
        </w:tblCellMar>
      </w:tblPr>
      <w:tblGrid>
        <w:gridCol w:w="271"/>
        <w:gridCol w:w="721"/>
      </w:tblGrid>
      <w:tr>
        <w:trPr/>
        <w:tc>
          <w:tcPr>
            <w:tcW w:w="27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7.</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Leases</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Gyre Pharmaceuticals maintained leases for office spaces in the following locations: in Beijing, comprising approximately 2,130 square meters with a lease expiration in June 2027; in Zhengzhou, comprising approximately 180 square meters with a lease expiration in August 2026; in Shanghai, comprising approximately 224 square meters with a lease expiration in December 2026; in Nanjing, comprising approximately 70 square meters with a lease expiration in February 2027; and in Beijing, for a staff dormitory comprising approximately 249 square meters with a lease expiration in March 2028. Cullgen maintained leases for research and office facilities in Shanghai, China, comprising multiple buildings and floors with lease expirations ranging from November 2026 to February 2037. In connection with the Merger, the Company entered into an agreement for the early termination of the lease for its U.S. headquarters in San Diego, California, which termination was effective in July 2026, and relocated its U.S. headquarters to Cullgen's leased facility in San Diego, California, with a lease expiration in July 2028. The Company assessed the impact of early termination to be immaterial.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also has multiple short-term leased properties used as offices and employee dormitories. The Company recorded a total of $18 thousand and $32 thousand in short-term rent expenses during the three months ended June 30, 2026 and 2025, respectively. The Company recorded a total of $35 thousand and $48 thousand in short-term rent expenses during the six months ended June 30, 2026 and 2025, respectively. The short-term rent expense amounts are recorded in operating expenses in the accompanying condensed consolidated statements of operations and comprehensive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recorded an aggregate right-of-use asset of $3.3 million, and an aggregate lease liability of $3.4 million in the accompanying condensed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June 30, 2026 and 2025, the Company’s operating lease expense was $0.4 million and $0.5 million, respectively. For the six months ended June 30, 2026 and 2025, the Company's operating lease expense was $0.9 million and $0.8 million, respectively. Variable lease payments for the three and six months ended June 30, 2026 and 2025 were immaterial.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cash flow information related to operating leases was as follows (in thousands):</w:t>
      </w:r>
    </w:p>
    <w:p>
      <w:pPr>
        <w:pStyle w:val="TextBody"/>
        <w:bidi w:val="0"/>
        <w:jc w:val="both"/>
        <w:rPr/>
      </w:pPr>
      <w:r>
        <w:rPr/>
        <w:t> </w:t>
      </w:r>
    </w:p>
    <w:tbl>
      <w:tblPr>
        <w:tblW w:w="8155" w:type="dxa"/>
        <w:jc w:val="left"/>
        <w:tblInd w:w="0" w:type="dxa"/>
        <w:tblLayout w:type="fixed"/>
        <w:tblCellMar>
          <w:top w:w="28" w:type="dxa"/>
          <w:left w:w="28" w:type="dxa"/>
          <w:bottom w:w="28" w:type="dxa"/>
          <w:right w:w="28" w:type="dxa"/>
        </w:tblCellMar>
      </w:tblPr>
      <w:tblGrid>
        <w:gridCol w:w="5806"/>
        <w:gridCol w:w="280"/>
        <w:gridCol w:w="560"/>
        <w:gridCol w:w="194"/>
        <w:gridCol w:w="194"/>
        <w:gridCol w:w="310"/>
        <w:gridCol w:w="620"/>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(As Recast)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present value assumptions used in calculating the present value of the lease payments were as follows:</w:t>
      </w:r>
    </w:p>
    <w:p>
      <w:pPr>
        <w:pStyle w:val="TextBody"/>
        <w:bidi w:val="0"/>
        <w:jc w:val="both"/>
        <w:rPr/>
      </w:pPr>
      <w:r>
        <w:rPr/>
        <w:t> </w:t>
      </w:r>
    </w:p>
    <w:tbl>
      <w:tblPr>
        <w:tblW w:w="6734" w:type="dxa"/>
        <w:jc w:val="left"/>
        <w:tblInd w:w="0" w:type="dxa"/>
        <w:tblLayout w:type="fixed"/>
        <w:tblCellMar>
          <w:top w:w="28" w:type="dxa"/>
          <w:left w:w="28" w:type="dxa"/>
          <w:bottom w:w="28" w:type="dxa"/>
          <w:right w:w="28" w:type="dxa"/>
        </w:tblCellMar>
      </w:tblPr>
      <w:tblGrid>
        <w:gridCol w:w="3331"/>
        <w:gridCol w:w="268"/>
        <w:gridCol w:w="857"/>
        <w:gridCol w:w="271"/>
        <w:gridCol w:w="146"/>
        <w:gridCol w:w="368"/>
        <w:gridCol w:w="1177"/>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2025 </w:t>
              <w:br/>
              <w:t>(As Recast)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undiscounted future minimum payments under the Company’s operating leases were as follows (in thousands):</w:t>
      </w:r>
    </w:p>
    <w:p>
      <w:pPr>
        <w:pStyle w:val="TextBody"/>
        <w:bidi w:val="0"/>
        <w:jc w:val="both"/>
        <w:rPr/>
      </w:pPr>
      <w:r>
        <w:rPr/>
        <w:t> </w:t>
      </w:r>
    </w:p>
    <w:tbl>
      <w:tblPr>
        <w:tblW w:w="4539" w:type="dxa"/>
        <w:jc w:val="left"/>
        <w:tblInd w:w="0" w:type="dxa"/>
        <w:tblLayout w:type="fixed"/>
        <w:tblCellMar>
          <w:top w:w="28" w:type="dxa"/>
          <w:left w:w="28" w:type="dxa"/>
          <w:bottom w:w="28" w:type="dxa"/>
          <w:right w:w="28" w:type="dxa"/>
        </w:tblCellMar>
      </w:tblPr>
      <w:tblGrid>
        <w:gridCol w:w="3386"/>
        <w:gridCol w:w="211"/>
        <w:gridCol w:w="631"/>
        <w:gridCol w:w="311"/>
      </w:tblGrid>
      <w:tr>
        <w:trPr/>
        <w:tc>
          <w:tcPr>
            <w:tcW w:w="3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in 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undiscounted lease payments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imputed interest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lease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required to maintain security deposits of $0.5 million in connection with various leases, which amounts are included in other assets, noncurrent on the Company’s condensed consolidated balance sheets.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Land Use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held land use rights for two land parcels in Beijing’s Shunyi District, expiring in 2053, and in Cangzhou, Hebei Province, expiring from 2067 to 2070. These parcels, with a combined area of approximately 66,559 square meters, are utilized as manufacturing facilities. As of June 30, 2026, the aggregate carrying amount of the land use rights, net assets for these parcels was $1.5 million.</w:t>
      </w:r>
    </w:p>
    <w:p>
      <w:pPr>
        <w:pStyle w:val="TextBody"/>
        <w:bidi w:val="0"/>
        <w:jc w:val="both"/>
        <w:rPr/>
      </w:pPr>
      <w:r>
        <w:rPr/>
        <w:t> </w:t>
      </w:r>
    </w:p>
    <w:p>
      <w:pPr>
        <w:pStyle w:val="TextBody"/>
        <w:bidi w:val="0"/>
        <w:jc w:val="both"/>
        <w:rPr/>
      </w:pPr>
      <w:r>
        <w:rPr/>
        <w:t> </w:t>
      </w:r>
    </w:p>
    <w:p>
      <w:pPr>
        <w:pStyle w:val="TextBody"/>
        <w:bidi w:val="0"/>
        <w:jc w:val="left"/>
        <w:rPr/>
      </w:pPr>
      <w:r>
        <w:rPr/>
        <w:t> </w:t>
      </w:r>
    </w:p>
    <w:tbl>
      <w:tblPr>
        <w:tblW w:w="2192" w:type="dxa"/>
        <w:jc w:val="left"/>
        <w:tblInd w:w="0" w:type="dxa"/>
        <w:tblLayout w:type="fixed"/>
        <w:tblCellMar>
          <w:top w:w="28" w:type="dxa"/>
          <w:left w:w="28" w:type="dxa"/>
          <w:bottom w:w="28" w:type="dxa"/>
          <w:right w:w="28" w:type="dxa"/>
        </w:tblCellMar>
      </w:tblPr>
      <w:tblGrid>
        <w:gridCol w:w="271"/>
        <w:gridCol w:w="1921"/>
      </w:tblGrid>
      <w:tr>
        <w:trPr/>
        <w:tc>
          <w:tcPr>
            <w:tcW w:w="27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8.</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Merger With Cullgen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May 4, 2026, the Company completed its merger with Cullgen. Pursuant to the Merger Agreement, all outstanding shares of Cullgen common stock and redeemable convertible preferred stock were converted into shares of the Company's common stock or Series B Convertible Preferred Stock based on the exchange ratios specified in the Merger Agreement. 57,821,355 shares of Cullgen redeemable convertible preferred stock and 10,023,615 shares of Cullgen common stock were converted into an aggregate of 3,697,235 shares of the Company's Series B Convertible Preferred Stock and 14,450,527 shares of the Company's common stock. Upon completion of the Merger, no shares of Cullgen common stock or redeemable convertible preferred stock remained outstanding. Cullgen redeemable convertible preferred stock carrying amount was adjusted to the redemption amount as of the balance sheet date and immediately before the Merger Closing Date in accordance with ASC 480-10-S99. The redeemable convertible preferred stock that was held by shareholders other than GNI Japan was separately disclosed as Redeemable noncontrolling interests — Cullgen redeemable convertible preferred stock on the unaudited condensed consolidated balance sheet as of December 31, 2025.</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Common stock reserved for future issuance is as follows:</w:t>
      </w:r>
    </w:p>
    <w:p>
      <w:pPr>
        <w:pStyle w:val="TextBody"/>
        <w:bidi w:val="0"/>
        <w:jc w:val="both"/>
        <w:rPr/>
      </w:pPr>
      <w:r>
        <w:rPr/>
        <w:t> </w:t>
      </w:r>
    </w:p>
    <w:tbl>
      <w:tblPr>
        <w:tblW w:w="7632" w:type="dxa"/>
        <w:jc w:val="left"/>
        <w:tblInd w:w="0" w:type="dxa"/>
        <w:tblLayout w:type="fixed"/>
        <w:tblCellMar>
          <w:top w:w="28" w:type="dxa"/>
          <w:left w:w="28" w:type="dxa"/>
          <w:bottom w:w="28" w:type="dxa"/>
          <w:right w:w="28" w:type="dxa"/>
        </w:tblCellMar>
      </w:tblPr>
      <w:tblGrid>
        <w:gridCol w:w="4036"/>
        <w:gridCol w:w="146"/>
        <w:gridCol w:w="146"/>
        <w:gridCol w:w="1036"/>
        <w:gridCol w:w="146"/>
        <w:gridCol w:w="331"/>
        <w:gridCol w:w="185"/>
        <w:gridCol w:w="1315"/>
        <w:gridCol w:w="2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br/>
              <w:t> (As Recast)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23,684,944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23,580,270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Warrants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common stock reserved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24,225,610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24,120,936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16"/>
        </w:rPr>
        <w:t>[1] Includes 5,476,086</w:t>
      </w:r>
      <w:r>
        <w:rPr>
          <w:rFonts w:ascii="Times New Roman" w:hAnsi="Times New Roman"/>
          <w:color w:val="000000"/>
          <w:sz w:val="20"/>
        </w:rPr>
        <w:t xml:space="preserve"> </w:t>
      </w:r>
      <w:r>
        <w:rPr>
          <w:rFonts w:ascii="Times New Roman" w:hAnsi="Times New Roman"/>
          <w:color w:val="000000"/>
          <w:sz w:val="16"/>
        </w:rPr>
        <w:t>options exercisable for shares of common stock, which underlying shares of common stock were transferred in the name of the Company to Futu Network Technology Limited, the stock plan administrator of the 2023 Omnibus Incentive Sub-Plan for Chinese participants.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2024 ATM Program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27, 2024, the Company entered into an Open Market Sale Agreement (the “ATM Agreement”) with Jefferies LLC (the “Sales Agent”) as sales agent, pursuant to which the Company may offer and sell, from time to time, through the Sales Agent, shares of common stock with aggregate gross sales proceeds of up to $50.0 million through an at-the-market offering program (the “ATM Program”). The Company will pay the Sales Agent a commission of up to 3% of the gross proceeds of any shares sold. The Company also agreed to reimburse the Sales Agent for certain expenses incurred in connection with its services under the ATM Agreement, including up to $135,000 for legal expenses in connection with the establishment of the ATM Program. During the six months ended June 30, 2025, the Company sold 54,734 shares of common stock under ATM Program and received net proceeds of $0.5 million, after deducting commissions and offering costs of $8.6 thousand. During the six months ended June 30, 2026, there were no sales under the ATM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Sales of shares of common stock under the ATM Program may be made pursuant to the registration statement on Form S-3 (File No. 333-283237), which was declared effective by the SEC on November 22, 2024 (the “Shelf Registration Statement”), and a related prospectus supplement filed with the SEC on November 27, 2024.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May 2025 Underwritten Public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22, 2025, the Company entered into an underwriting agreement (the “Underwriting Agreement”) with Jefferies LLC, as representative of the several underwriters (the “Underwriters”), pursuant to which the Company agreed to issue and sell 2,222,222 shares of common stock, at a public offering price of $9.00 per share (the “Offering”). In addition, the Company granted the Underwriters an option for a period of 30 days to purchase up to an additional 333,333 shares of common stock at the public offering price, less the underwriting discounts and commissions (the “Greenshoe Option”).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Offering closed on May 27, 2025. On May 29, 2025, the Underwriters exercised the Greenshoe Option in full, and the issuance of the additional 333,333 shares was settled on the same day.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Offering was made pursuant to the Shelf Registration Statement, as supplemented by a prospectus supplement, dated May 22, 2025, filed with the SEC on May 23, 2025.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Restricted Net Assets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PRC laws and regulations, Gyre Pharmaceuticals is subject to restrictions on foreign exchange and cross-border cash transfers, including to parent companies and U.S. stockholders. The ability to distribute earnings to the parent companies and U.S. stockholders is also limited. Current PRC regulations permit Gyre Pharmaceuticals to pay dividends to BJContinent Pharmaceuticals Limited (“BJC”) only out of its accumulated profits as determined in accordance with PRC accounting standards and regulations. Amounts restricted include paid-in capital and the statutory reserves of Gyre Pharmaceuticals. The aggregate amounts of restricted capital and statutory reserves, which represented the amount of net assets of the relevant subsidiaries not available for distribution were $131.6 million and $128.1 million as of June 30, 2026 and December 31,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Statutory Reserve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Gyre Pharmaceuticals is required to set aside at least 10% of its after-tax profits as the statutory reserve fund until the cumulative amount of the statutory reserve fund reaches 50% or more of its registered capital, if any, to fund its statutory reserves, which are not available for distribution as cash dividends. At the Company’s discretion, the Company may allocate a portion of after-tax profits based on PRC accounting standards to a discretionary reserve fund. Appropriations to these reserves were $0.6 million and $0.0 million for the six months ended June 30, 2026 and 2025, respectively.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noncontrolling interests in the Company’s consolidated financial statements represent the economic interests in Gyre Pharmaceuticals held by shareholders other than BJC and four other holding company subsidiaries of the Company. As of June 30, 2026, the Company’s indirect ownership in Gyre Pharmaceuticals is 69.7%.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accordance with ASC 810-10, the noncontrolling interests also reflected Cullgen's net income or loss, accretion of Cullgen redeemable convertible preferred stocks, and comprehensive income or loss that are attributable to the 61.5% ownership of Cullgen held by parties other than GNI Japan prior to the Merger Closing Date. The Company acquired all the Cullgen ownership interest upon the Merger.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9. Stock Based Compensation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2023 Omnibus Incentive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Gyre Therapeutics, Inc. 2023 Omnibus Incentive Plan (the “2023 Omnibus Incentive Plan”) was approved by Catalyst’s stockholders in August 2023 and ratified by Gyre’s Board in October 2023. The 2023 Omnibus Incentive Plan became effective on October 30, 2023. The 2023 Omnibus Incentive Plan permits the Company to issue up to 17,845,496 shares of common stock and will automatically increase by the lesser of (i) 5% of the total number of outstanding shares of common stock on December 31st of the preceding calendar year and (ii) such smaller number of shares of common stock as determined by Gyre's Board on the first day of each fiscal year beginning on January 1, 2024. On January 1, 2024, pursuant to the automatic increase in the number of shares reserved, an additional 3,829,780 shares of common stock were reserved and made available for issuance under the 2023 Omnibus Incentive Plan. On January 1, 2025, pursuant to the automatic increase in the number of shares reserved, an additional 4,315,377 shares of common stock were reserved and made available for issuance under the 2023 Omnibus Incentive Plan. During the six months ended June 30, 2025, certain members of senior management were granted both awards subject solely to time-based vesting requirements and awards that are subject to the achievement of certain levels of specific performance, in addition to time-based vesting requirements (the “Performance-Based Awards”). These Performance-Based Awards are subject to the achievement of certain sales metrics and approval of Hydronidone for commercialization and may vest in full after two or three years. The awards become eligible to vest only if the goals are achieved and will vest only if the grantee remains employed by us through each applicable vesting date. </w:t>
      </w:r>
    </w:p>
    <w:p>
      <w:pPr>
        <w:pStyle w:val="TextBody"/>
        <w:bidi w:val="0"/>
        <w:jc w:val="both"/>
        <w:rPr>
          <w:rFonts w:ascii="Times New Roman" w:hAnsi="Times New Roman"/>
          <w:color w:val="000000"/>
          <w:sz w:val="20"/>
        </w:rPr>
      </w:pPr>
      <w:r>
        <w:rPr>
          <w:rFonts w:ascii="Times New Roman" w:hAnsi="Times New Roman"/>
          <w:color w:val="000000"/>
          <w:sz w:val="20"/>
        </w:rPr>
        <w:t>On November 20, 2025, the Company granted non-qualified stock options to employees of Gyre Pharmaceuticals, pursuant to the 2023 Omnibus Incentive Sub-Plan for Chinese Participants under the Company’s equity incentive arrangements. The awards covered an aggregate of 2,100,000 shares of common stock and were granted as part of the Company’s employee compensation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stock options were granted with an exercise price of $7.57 per share and have a contractual term of ten years from the grant date, subject to earlier termination upon cessation of employment. The awards generally vest based on a combination of time-based and performance-based vesting conditions. Specifically, 25% of the options vest immediately on the grant date, 35% vest in substantially equal monthly installments over a 24-month service period, and the remaining options are subject to the achievement of specified performance targets related to the Company’s consolidated revenue and the employee’s individual performance for the 2025 and 2026 calendar years. Performance-Based Awards vest only if the applicable performance conditions are achieved and the employee remains in service through the applicable vesting determination date.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2023 Omnibus Incentive Plan activity for the six months ended June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95"/>
        <w:gridCol w:w="146"/>
        <w:gridCol w:w="294"/>
        <w:gridCol w:w="2088"/>
        <w:gridCol w:w="166"/>
        <w:gridCol w:w="146"/>
        <w:gridCol w:w="608"/>
        <w:gridCol w:w="1346"/>
        <w:gridCol w:w="146"/>
        <w:gridCol w:w="146"/>
        <w:gridCol w:w="785"/>
        <w:gridCol w:w="1946"/>
        <w:gridCol w:w="393"/>
      </w:tblGrid>
      <w:tr>
        <w:trPr/>
        <w:tc>
          <w:tcPr>
            <w:tcW w:w="1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Remaining Contractual Term (Years)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19,483,378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 and 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19,547,325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17,471,542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u w:val="single"/>
        </w:rPr>
        <w:t>Valuation Assumptions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estimated the fair value of time-based stock options granted using the Black-Scholes option-pricing formula and a single option award approach. Due to its limited relevant historical data, the Company estimated its volatility considering a number of factors, including the use of the volatility of comparable public companies. The expected term of options granted under the 2023 Omnibus Incentive Plan, all of which qualify as “plain vanilla” per SEC Staff Accounting Bulletin 107, is determined based on the simplified method due to the Company’s limited relevant history. The risk-free rate is based on the yield of a U.S. Treasury security with a term consistent with the option. This fair value is being amortized ratably over the requisite service periods of the awards, which is generally the vesting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also granted performance-based stock options that vest under two types of independent performance conditions. One condition is tied to a certain sales target that is deemed not probable as of June 30, 2026. The other condition is tied to the approval in the PRC of a New Drug Application (“NDA”) for Hydronidone. The grant-date fair value of these awards was determined using the Black-Scholes Option Pricing Model, which incorporates key inputs such as stock price, exercise price, expected volatility, risk-free interest rate, time to expiration, and a zero-dividend yield.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the weighted-average grant date fair value of options and the assumptions used to estimate the fair value for time-based awards, and for performance-based awards during the three and six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39"/>
        <w:gridCol w:w="146"/>
        <w:gridCol w:w="406"/>
        <w:gridCol w:w="798"/>
        <w:gridCol w:w="322"/>
        <w:gridCol w:w="173"/>
        <w:gridCol w:w="346"/>
        <w:gridCol w:w="766"/>
        <w:gridCol w:w="471"/>
        <w:gridCol w:w="346"/>
        <w:gridCol w:w="406"/>
        <w:gridCol w:w="798"/>
        <w:gridCol w:w="302"/>
        <w:gridCol w:w="162"/>
        <w:gridCol w:w="406"/>
        <w:gridCol w:w="798"/>
        <w:gridCol w:w="520"/>
      </w:tblGrid>
      <w:tr>
        <w:trPr/>
        <w:tc>
          <w:tcPr>
            <w:tcW w:w="3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and performance-based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grant-date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 - 4.31%</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 - 4.09%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 - 4.31%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 - 4.40%</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option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5.27 - 6.08</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5.27 - 6.08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5.27 - 6.08</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5.27 - 6.41</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dividend yield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Volatility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 - 85.1%</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 - 84.3%</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 - 85.1%</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 - 84.3%</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Amended and Restated 2018 Cullgen Stock Incentive Plan (the “Cullgen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Cullgen Plan provides for the issuance of stock-based awards, including stock options, restricted stock awards, restricted stock units, and other equity-based awards, to officers, directors, employees, and consultants of Cullgen. The plan authorized issuance of up to 9,000,000 shares of Cullgen common stock. Stock options granted under the plan generally vest over four years, are exercisable at prices determined by the board of directors at the date of grant, and expire no later than ten years from issuance or five years for incentive stock options granted to a 10% stockholder.</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Merger, the Company assumed and amended and restated the 2018 Cullgen Stock Incentive Plan and all outstanding stock options and other equity awards granted thereunder. Each outstanding Cullgen equity award was converted into the right to receive 0.4753 shares (the “Exchange Ratio”) with respect to the Company's common stock, with corresponding adjustments to the number of shares subject to each award and the exercise price, as applicable (hereinafter the “Assumed Awards”). The Assumed Awards have the same terms and conditions including any vesting provisions and any provisions providing for accelerated vesting upon certain events as were applicable under such incentive plan as of immediately prior to the Merger.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acquisition date, 4,156,800 shares of the Company's common stock were reserved for issuance upon the exercise or vesting of the Assumed Awards. The Company accounts for the Assumed Awards in accordance with ASC 718, Compensation—Stock Compensation.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Cullgen stock option activity for the six months ended June 30, 2026 on a post conversion basis: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07"/>
        <w:gridCol w:w="146"/>
        <w:gridCol w:w="317"/>
        <w:gridCol w:w="2026"/>
        <w:gridCol w:w="166"/>
        <w:gridCol w:w="146"/>
        <w:gridCol w:w="610"/>
        <w:gridCol w:w="1351"/>
        <w:gridCol w:w="146"/>
        <w:gridCol w:w="146"/>
        <w:gridCol w:w="790"/>
        <w:gridCol w:w="1959"/>
        <w:gridCol w:w="395"/>
      </w:tblGrid>
      <w:tr>
        <w:trPr/>
        <w:tc>
          <w:tcPr>
            <w:tcW w:w="2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Remaining Contractual Term (Years)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u w:val="single"/>
        </w:rPr>
        <w:t>Valuation Assumptions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estimated the fair value of time-based stock options granted using the Black-Scholes option-pricing formula and a single option award approach. Due to its limited relevant historical data, the Company estimated its volatility considering a number of factors, including the use of the volatility of comparable public companies. The expected term of options granted under the Cullgen Plan, all of which qualify as “plain vanilla” per SEC Staff Accounting Bulletin 107, is determined based on the simplified method due to the Company’s limited relevant history. The risk-free rate is based on the yield of a U.S. Treasury security with a term consistent with the option. This fair value is being amortized ratably over the requisite service periods of the awards, which is generally the vesting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the weighted-average grant date fair value of options and the assumptions used to estimate the fair value for time-based awards, and for performance-based awards during the three and six months ended June 30, 2026.</w:t>
      </w:r>
    </w:p>
    <w:p>
      <w:pPr>
        <w:pStyle w:val="TextBody"/>
        <w:bidi w:val="0"/>
        <w:jc w:val="both"/>
        <w:rPr/>
      </w:pPr>
      <w:r>
        <w:rPr/>
        <w:t> </w:t>
      </w:r>
    </w:p>
    <w:p>
      <w:pPr>
        <w:pStyle w:val="TextBody"/>
        <w:bidi w:val="0"/>
        <w:jc w:val="both"/>
        <w:rPr/>
      </w:pPr>
      <w:r>
        <w:rPr/>
        <w:t> </w:t>
      </w:r>
    </w:p>
    <w:tbl>
      <w:tblPr>
        <w:tblW w:w="8155" w:type="dxa"/>
        <w:jc w:val="left"/>
        <w:tblInd w:w="0" w:type="dxa"/>
        <w:tblLayout w:type="fixed"/>
        <w:tblCellMar>
          <w:top w:w="28" w:type="dxa"/>
          <w:left w:w="28" w:type="dxa"/>
          <w:bottom w:w="28" w:type="dxa"/>
          <w:right w:w="28" w:type="dxa"/>
        </w:tblCellMar>
      </w:tblPr>
      <w:tblGrid>
        <w:gridCol w:w="3486"/>
        <w:gridCol w:w="146"/>
        <w:gridCol w:w="246"/>
        <w:gridCol w:w="666"/>
        <w:gridCol w:w="404"/>
        <w:gridCol w:w="404"/>
        <w:gridCol w:w="544"/>
        <w:gridCol w:w="146"/>
        <w:gridCol w:w="233"/>
        <w:gridCol w:w="632"/>
        <w:gridCol w:w="300"/>
        <w:gridCol w:w="161"/>
        <w:gridCol w:w="787"/>
      </w:tblGrid>
      <w:tr>
        <w:trPr/>
        <w:tc>
          <w:tcPr>
            <w:tcW w:w="3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2025</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grant-date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n/a</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n/a</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option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n/a</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dividend yield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n/a</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Volatility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stock-based compensation expense recognized was as follows (in thousands): </w:t>
      </w:r>
    </w:p>
    <w:p>
      <w:pPr>
        <w:pStyle w:val="TextBody"/>
        <w:bidi w:val="0"/>
        <w:jc w:val="both"/>
        <w:rPr/>
      </w:pPr>
      <w:r>
        <w:rPr/>
        <w:t> </w:t>
      </w:r>
    </w:p>
    <w:tbl>
      <w:tblPr>
        <w:tblW w:w="9656" w:type="dxa"/>
        <w:jc w:val="left"/>
        <w:tblInd w:w="0" w:type="dxa"/>
        <w:tblLayout w:type="fixed"/>
        <w:tblCellMar>
          <w:top w:w="28" w:type="dxa"/>
          <w:left w:w="28" w:type="dxa"/>
          <w:bottom w:w="28" w:type="dxa"/>
          <w:right w:w="28" w:type="dxa"/>
        </w:tblCellMar>
      </w:tblPr>
      <w:tblGrid>
        <w:gridCol w:w="3651"/>
        <w:gridCol w:w="146"/>
        <w:gridCol w:w="257"/>
        <w:gridCol w:w="697"/>
        <w:gridCol w:w="178"/>
        <w:gridCol w:w="178"/>
        <w:gridCol w:w="359"/>
        <w:gridCol w:w="976"/>
        <w:gridCol w:w="146"/>
        <w:gridCol w:w="146"/>
        <w:gridCol w:w="235"/>
        <w:gridCol w:w="637"/>
        <w:gridCol w:w="162"/>
        <w:gridCol w:w="162"/>
        <w:gridCol w:w="360"/>
        <w:gridCol w:w="975"/>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had an unrecognized stock-based compensation expense of $10.0 million, related to unvested stock option awards, which is expected to be recognized over an estimated weighted-average period of 2.5 years.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10. Net (Loss) Income per Share (</w:t>
      </w:r>
      <w:r>
        <w:rPr>
          <w:rFonts w:ascii="Times New Roman" w:hAnsi="Times New Roman"/>
          <w:color w:val="000000"/>
          <w:sz w:val="20"/>
        </w:rPr>
        <w:t>“</w:t>
      </w:r>
      <w:r>
        <w:rPr>
          <w:rFonts w:ascii="Times New Roman" w:hAnsi="Times New Roman"/>
          <w:b/>
          <w:color w:val="000000"/>
          <w:sz w:val="20"/>
        </w:rPr>
        <w:t>EPS”) Attributable to Common Stockholders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dilutive effect of outstanding stock options and warrants is calculated using the treasury stock method. Stock options and warrants are excluded from the diluted EPS attributable to common stock calculation if they have an anti-dilutive effect. If there is a net loss for the period, all options are excluded from the diluted EPS calculation.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computation of EPS attributable to common stockholders, basic and diluted (in thousands, except share and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39"/>
        <w:gridCol w:w="146"/>
        <w:gridCol w:w="211"/>
        <w:gridCol w:w="1141"/>
        <w:gridCol w:w="166"/>
        <w:gridCol w:w="146"/>
        <w:gridCol w:w="211"/>
        <w:gridCol w:w="1036"/>
        <w:gridCol w:w="166"/>
        <w:gridCol w:w="146"/>
        <w:gridCol w:w="211"/>
        <w:gridCol w:w="1036"/>
        <w:gridCol w:w="166"/>
        <w:gridCol w:w="146"/>
        <w:gridCol w:w="211"/>
        <w:gridCol w:w="1036"/>
        <w:gridCol w:w="391"/>
      </w:tblGrid>
      <w:tr>
        <w:trPr/>
        <w:tc>
          <w:tcPr>
            <w:tcW w:w="3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2025 </w:t>
              <w:br/>
              <w:t>(As Recast)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2025 </w:t>
              <w:br/>
              <w:t>(As Recast)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Accretion of Cullgen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Allocation of undistributed loss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100,637,599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89,119,344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96,003,117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87,295,099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shares used in calculating net (loss) income per share attributable to common stockholders,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100,637,599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89,119,344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96,003,117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87,295,099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Dilutive potential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of preferred stock warrants (as converted)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shares used in calculating net loss per share attributable to common stockholders,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100,637,599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89,203,138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96,003,117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87,430,167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Potentially dilutive securities that were not included in the diluted per share calculations because they would be anti-dilutive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64"/>
        <w:gridCol w:w="146"/>
        <w:gridCol w:w="146"/>
        <w:gridCol w:w="1036"/>
        <w:gridCol w:w="146"/>
        <w:gridCol w:w="146"/>
        <w:gridCol w:w="146"/>
        <w:gridCol w:w="1036"/>
        <w:gridCol w:w="146"/>
        <w:gridCol w:w="146"/>
        <w:gridCol w:w="146"/>
        <w:gridCol w:w="1036"/>
        <w:gridCol w:w="146"/>
        <w:gridCol w:w="146"/>
        <w:gridCol w:w="146"/>
        <w:gridCol w:w="1036"/>
        <w:gridCol w:w="191"/>
      </w:tblGrid>
      <w:tr>
        <w:trPr/>
        <w:tc>
          <w:tcPr>
            <w:tcW w:w="4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2025 </w:t>
              <w:br/>
              <w:t>(As Recast)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2025 </w:t>
              <w:br/>
              <w:t>(As Recast)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21,201,749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18,978,531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21,201,749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19,043,331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preferred stock (as converted)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18,486,175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18,486,175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 (as converted)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13,009,130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13,009,130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preferred stock (as converted)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40,228,590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31,987,661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40,228,590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32,052,461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Litigation and Legal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subject to claims and legal proceedings that arise in the ordinary course of business. Such matters are inherently uncertain, and there can be no guarantee that the outcome of any such matter will be decided favorably to the Company or that the resolution of any such matter will not have a material adverse effect upon the Company’s condensed consolidated financial statements.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Purchasing Commitments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Property and Equipment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commitments related to purchase of property and equipment contracted but not yet reflected in the condensed consolidated financial statements were $1.2 million as of June 30, 2026 and were expected to be incurred within one year.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Etorel</w:t>
      </w:r>
      <w:r>
        <w:rPr>
          <w:rFonts w:ascii="Times New Roman" w:hAnsi="Times New Roman"/>
          <w:i/>
          <w:color w:val="000000"/>
          <w:sz w:val="13"/>
        </w:rPr>
        <w:t>TM</w:t>
      </w:r>
      <w:r>
        <w:rPr>
          <w:rFonts w:ascii="Times New Roman" w:hAnsi="Times New Roman"/>
          <w:color w:val="000000"/>
          <w:sz w:val="20"/>
        </w:rPr>
        <w:t xml:space="preserve"> </w:t>
      </w:r>
      <w:r>
        <w:rPr>
          <w:rFonts w:ascii="Times New Roman" w:hAnsi="Times New Roman"/>
          <w:i/>
          <w:color w:val="000000"/>
          <w:sz w:val="20"/>
        </w:rPr>
        <w:t>IP Rights</w:t>
      </w:r>
    </w:p>
    <w:p>
      <w:pPr>
        <w:pStyle w:val="TextBody"/>
        <w:bidi w:val="0"/>
        <w:jc w:val="both"/>
        <w:rPr>
          <w:rFonts w:ascii="Times New Roman" w:hAnsi="Times New Roman"/>
          <w:color w:val="000000"/>
          <w:sz w:val="20"/>
        </w:rPr>
      </w:pPr>
      <w:r>
        <w:rPr>
          <w:rFonts w:ascii="Times New Roman" w:hAnsi="Times New Roman"/>
          <w:color w:val="000000"/>
          <w:sz w:val="20"/>
        </w:rPr>
        <w:t xml:space="preserve">In May 2024, the Company entered into an IP rights transfer agreement with a third-party, Jiangsu Wangao Pharmaceuticals Co., Ltd., to acquire the “EtorelTM IP Rights”. The EtorelTM IP Rights are recorded as technology rights in Intangible Assets in Note 5 — Intangible Assets. The commercial sales of EtorelTM commenced in June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According to the agreement, except for RMB 35.0 million, or approximately $5.1 million based on the June 30, 2026 spot exchange rate, the Company is committed to additional annual payments over eight years following the commencement of commercial sales in June 2025, which will be contingent consideration based on actual annual sales in future years. For each of the first two years starting from June 2025, the minimum annual commission is RMB 10 million, or approximately $1.5 million, based on the June 30, 2026 spot exchange rate, which has already been included in the IP cost. If the sales-based commission calculated at 5% of annual sales in the first year exceeds RMB 10 million (approximately $1.5 million, based on the June 30, 2026 spot exchange rate) or the commission calculated at 4% of annual sales in the second year exceeds RMB 10 million (approximately $1.5 million, based on the June 30, 2026 spot exchange rate), the excess amount for each year will be recognized as contingent consideration. For the third year through the eighth year, the contingent payments will be calculated at 3%, 2%, 2%, 1%, 1%, and 1% of sales in each year,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assessed the possibility that annual sales commissions in the second year would exceed RMB 10 million, or approximately $1.5 million, based on the June 30, 2026 spot exchange rate, as remote and did not accrue any contingent consideration.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total accrued contract consideration was $1.8 million, which was recorded under accrued expenses and other current liabilities.</w:t>
      </w:r>
    </w:p>
    <w:p>
      <w:pPr>
        <w:pStyle w:val="TextBody"/>
        <w:bidi w:val="0"/>
        <w:jc w:val="left"/>
        <w:rPr/>
      </w:pPr>
      <w:r>
        <w:rPr/>
        <w:t> </w:t>
      </w:r>
    </w:p>
    <w:p>
      <w:pPr>
        <w:pStyle w:val="TextBody"/>
        <w:bidi w:val="0"/>
        <w:jc w:val="both"/>
        <w:rPr>
          <w:rFonts w:ascii="Times New Roman" w:hAnsi="Times New Roman"/>
          <w:b/>
          <w:i/>
          <w:color w:val="000000"/>
          <w:sz w:val="20"/>
          <w:u w:val="single"/>
        </w:rPr>
      </w:pPr>
      <w:r>
        <w:rPr>
          <w:rFonts w:ascii="Times New Roman" w:hAnsi="Times New Roman"/>
          <w:b/>
          <w:i/>
          <w:color w:val="000000"/>
          <w:sz w:val="20"/>
          <w:u w:val="single"/>
        </w:rPr>
        <w:t>Hydronidone (F351)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September 2020, Gyre Pharmaceuticals entered into an IP transfer agreement (the “Hydronidone Transfer Agreement”) with GNI Japan and certain of its wholly owned subsidiaries (the “GNI Group”). According to the Hydronidone Transfer Agreement, Gyre Pharmaceuticals acquired the exclusive right to use Hydronidone IP rights in mainland China and the right of first offer for the global IP rights (the “Hydronidone IP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Hydronidone Transfer Agreement, in exchange for the Hydronidone IP Rights, Gyre Pharmaceuticals is obligated to pay RMB 8.3 million, or approximately $1.2 million, based on the June 30, 2026 spot exchange rate, after the NDA passes the NMPA’s Center for Food and Drug Review and Inspection’s on-site registration inspection for the Hydronidone product; and RMB 49.6 million, or approximately $7.3 million, based on the June 30, 2026 spot exchange rate upon NMPA’s approval of the NDA. As of June 30, 2026, the next payment conditions have not been met; as such, no payments have been accrued.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Hydronidone product achieving commercialization, the Company will be required to make annual royalty payments based on future product sales. These contingent payments are structured as twelve annual royalties equal to 10%, 14%, 16%, 16%, 16%, 16%, 16%, 15%, 14%, 12%, 10%, and 8% of annual sales. As of June 30, 2026, commercialization has not yet been achieved, and no royalty payments have been incurred or accrued.</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SDM Service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December 2025, the Company entered into a clinical trial service agreement with a third-party contract research organization in connection with a Phase 3C confirmatory clinical trial for Hydronidone (the “SDM Clinical Trial Agreement”). The Phase 3C trial is designed to evaluate clinical endpoint events and satisfy the safety exposure requirements for the potential conditional approval and subsequent conventional marketing authorization of Hydronidone capsules.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SDM Clinical Trial Agreement, the Company is obligated to make payments based on the achievement of specified clinical and operational milestones and the performance of clinical trial–related services, including trial preparation, patient enrollment and follow-up, site management, interim analyses, data management–related activities, and preparation of the clinical study report. The aggregate contractual amount under the agreement is approximately RMB 114.0 million, or approximately $16.7 million, based on the June 30, 2026 spot exchange rate.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recognized $2.6 million in research and development expenses and made payments of $4.7 million under the SDM Clinical Trial Agreement.</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 Programs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the $8.5 million commitment to GNI Group for the Hydronidone program, as of June 30, 2026, Gyre Pharmaceuticals has committed to allocate $44.5 million toward future research and development activities for various programs. Gyre Therapeutics has not committed to allocate any amount toward research and development activities.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Indemnification Agreements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normal course of business, the Company enters into agreements that indemnify others for certain liabilities that may arise in connection with a transaction or certain events and activities. If the indemnified party were to make a successful claim pursuant to the terms of the indemnification, the Company may be required to reimburse the loss. These indemnifications are generally subject to various restrictions and limitations.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June 30, 2026 and 2025, the Company recorded the following income tax provision (in thousands) and effective tax rate:</w:t>
      </w:r>
    </w:p>
    <w:p>
      <w:pPr>
        <w:pStyle w:val="TextBody"/>
        <w:bidi w:val="0"/>
        <w:jc w:val="both"/>
        <w:rPr/>
      </w:pPr>
      <w:r>
        <w:rPr/>
        <w:t> </w:t>
      </w:r>
    </w:p>
    <w:tbl>
      <w:tblPr>
        <w:tblW w:w="8185" w:type="dxa"/>
        <w:jc w:val="left"/>
        <w:tblInd w:w="0" w:type="dxa"/>
        <w:tblLayout w:type="fixed"/>
        <w:tblCellMar>
          <w:top w:w="28" w:type="dxa"/>
          <w:left w:w="28" w:type="dxa"/>
          <w:bottom w:w="28" w:type="dxa"/>
          <w:right w:w="28" w:type="dxa"/>
        </w:tblCellMar>
      </w:tblPr>
      <w:tblGrid>
        <w:gridCol w:w="2881"/>
        <w:gridCol w:w="146"/>
        <w:gridCol w:w="245"/>
        <w:gridCol w:w="558"/>
        <w:gridCol w:w="314"/>
        <w:gridCol w:w="169"/>
        <w:gridCol w:w="245"/>
        <w:gridCol w:w="732"/>
        <w:gridCol w:w="271"/>
        <w:gridCol w:w="146"/>
        <w:gridCol w:w="225"/>
        <w:gridCol w:w="562"/>
        <w:gridCol w:w="289"/>
        <w:gridCol w:w="156"/>
        <w:gridCol w:w="250"/>
        <w:gridCol w:w="680"/>
        <w:gridCol w:w="316"/>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(As Recast)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(As Recast)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change in effective tax rate for the three and six months ended June 30, 2026 and 2025 was primarily due to the business combination with Cullgen and the increase of R&amp;D expenditures. The Company expects to incur income tax expense for the current period as a result of the impact of valuation allowance. Accordingly, the effective tax rate for the six months ended June 30, 2026 was negative. The Company’s income tax provision reflects the retrospective presentation of the common-control combination with Cullgen.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after consideration of certain limitations (see below), the Company had approximately $193.3 million federal and $21.7 million state net operating loss (“NOL”) carryforwards for U.S. tax purposes available to reduce future taxable income which, if unused, will begin to expire in 2037 for federal and 2034 for state tax purposes. The federal net operating loss carryforward includes $191.9 million that have an indefinite life.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Company experiences a greater than 50 percentage point aggregate change in ownership over a three-year period (a Section 382 ownership change), utilization of its pre-change NOL carryforwards is subject to annual limitation under Section 382 of the Internal Revenue Code (California has similar provisions). The annual limitation is determined by multiplying the value of the Company’s stock immediately before such ownership change by the applicable long-term tax-exempt rate. Such limitations may result in expiration of a portion of the NOL carryforwards before utilization. The Company determined that ownership changes under Section 382 occurred on December 31, 2007, August 20, 2015, April 13, 2017, February 15, 2018, February 18, 2020, and December 26, 2022. Approximately $156.5 million and $75.2 million of the NOLs will expire unutilized for federal and California state income tax purposes, respectively. The ability of the Company to use its remaining NOL and credit carryforwards may be further limited if the Company experiences a Section 382 ownership change as a result of future changes in its stock ownership.</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Related Party Transactions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Research and Development with GNI Group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for the services received from Shanghai Genomics, Inc (“ Shanghai Genomics”), a wholly-owned subsidiary of GNI Group, were $5.1 million and $0.2 million for the three months ended June 30, 2026 and 2025, respectively. Research and development expenses for the related services received from Shanghai Genomics were $5.1 million and $0.2 million for the six months ended June 30, 2026 and 2025, respectively. The amounts for the three and six months ended June 30, 2026 included a milestone payment of RMB 33.1 million (approximately $4.9 million, based on the June 30, 2026 spot exchange rate) recognized under the Hydronidone Transfer Agreement upon the submission and acceptance of the Hydronidone NDA by the Center for Drug Evaluation (“CDE”) of the National Medical Products Administration (“NMPA”). As of June 30, 2026, the related payment has been accrued under due to related parties in the condensed consolidated balance sheets. No payments for such services were made to entities controlled by GNI Group during the three and six months ended June 30, 2026 and 2025. As of June 30, 2026 and December 31, 2025, the Company had related parties payables of $5.1 million and $0.2 million due to GNI Group.</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Other Receivables from GNI</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 Company had recorded $0.2 million in other receivables from GNI Group, all of which related to Continent Pharmaceuticals Inc.'s (“CPI”) restructuring transaction.</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Operating Lease with Shanghai Genomics, Inc.</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xml:space="preserve">As of June 30, 2026 and December 31, 2025, operating lease ROU assets and operating lease liabilities recognized for leases were as follows (in thousands): </w:t>
      </w:r>
    </w:p>
    <w:tbl>
      <w:tblPr>
        <w:tblW w:w="6012" w:type="dxa"/>
        <w:jc w:val="left"/>
        <w:tblInd w:w="0" w:type="dxa"/>
        <w:tblLayout w:type="fixed"/>
        <w:tblCellMar>
          <w:top w:w="28" w:type="dxa"/>
          <w:left w:w="28" w:type="dxa"/>
          <w:bottom w:w="28" w:type="dxa"/>
          <w:right w:w="28" w:type="dxa"/>
        </w:tblCellMar>
      </w:tblPr>
      <w:tblGrid>
        <w:gridCol w:w="3241"/>
        <w:gridCol w:w="211"/>
        <w:gridCol w:w="631"/>
        <w:gridCol w:w="166"/>
        <w:gridCol w:w="146"/>
        <w:gridCol w:w="314"/>
        <w:gridCol w:w="946"/>
        <w:gridCol w:w="166"/>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br/>
              <w:t>(As Recast)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related lease expense recognized from related parties included in “Research and development expenses” and “General and administrative expenses” in the condensed consolidated statements of operations and comprehensive (loss) income were as follows: </w:t>
      </w:r>
    </w:p>
    <w:p>
      <w:pPr>
        <w:pStyle w:val="TextBody"/>
        <w:bidi w:val="0"/>
        <w:jc w:val="both"/>
        <w:rPr/>
      </w:pPr>
      <w:r>
        <w:rPr/>
        <w:t> </w:t>
      </w:r>
    </w:p>
    <w:tbl>
      <w:tblPr>
        <w:tblW w:w="8138" w:type="dxa"/>
        <w:jc w:val="left"/>
        <w:tblInd w:w="0" w:type="dxa"/>
        <w:tblLayout w:type="fixed"/>
        <w:tblCellMar>
          <w:top w:w="28" w:type="dxa"/>
          <w:left w:w="28" w:type="dxa"/>
          <w:bottom w:w="28" w:type="dxa"/>
          <w:right w:w="28" w:type="dxa"/>
        </w:tblCellMar>
      </w:tblPr>
      <w:tblGrid>
        <w:gridCol w:w="3091"/>
        <w:gridCol w:w="355"/>
        <w:gridCol w:w="531"/>
        <w:gridCol w:w="245"/>
        <w:gridCol w:w="245"/>
        <w:gridCol w:w="373"/>
        <w:gridCol w:w="557"/>
        <w:gridCol w:w="146"/>
        <w:gridCol w:w="146"/>
        <w:gridCol w:w="280"/>
        <w:gridCol w:w="560"/>
        <w:gridCol w:w="194"/>
        <w:gridCol w:w="194"/>
        <w:gridCol w:w="310"/>
        <w:gridCol w:w="620"/>
        <w:gridCol w:w="291"/>
      </w:tblGrid>
      <w:tr>
        <w:trPr/>
        <w:tc>
          <w:tcPr>
            <w:tcW w:w="309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(As Recast)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(As Recast)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Employee Benefit Plans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Mainland China Contribution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relevant PRC regulations, the Company is required to make contributions to various defined contribution plans organized by municipal and provincial PRC governments. The contribution for each employee is based on a percentage of the employee’s current compensation as required by the local government. The contributions are charged to profit or loss as they become payable in accordance with the rules of the central pension scheme. The total contributions for such employee benefits were $1.8 million and $1.7 million for the three months ended June 30, 2026 and 2025, respectively. The total contributions for such employee benefits were $3.3 million and $3.4 million for the six months ended June 30, 2026 and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Defined-Contribution Savings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U.S., the Company maintains a defined-contribution savings plan pursuant to Section 401(k) of the Internal Revenue Code of 1986, as amended. The plan is available to employees who meet the minimum age and length of service requirements. The contributions made during the three months ended June 30, 2026 and 2025 were $36.1 thousand and $40.0 thousand. The contributions made during the six months ended June 30, 2026 and 2025 were $70.8 thousand and $70.8 thousand.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Segment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is a consolidated entity comprised of two reporting segments: Gyre Pharmaceuticals, and Gyre. The Company’s reportable segments are based upon internal organizational structure, the manner in which operations are managed, the criteria used by the CODM to evaluate segment performance, the availability of separate financial information, and overall materiality considerations. Gyre's operations are primarily located in the United States and Shanghai, China, and Gyre Pharmaceuticals' operations are primarily located in mainland China.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Gyre Pharmaceuticals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Gyre Pharmaceuticals has three major commercial drug products, ETUARY</w:t>
      </w:r>
      <w:r>
        <w:rPr>
          <w:rFonts w:ascii="Times New Roman" w:hAnsi="Times New Roman"/>
          <w:color w:val="000000"/>
          <w:sz w:val="13"/>
        </w:rPr>
        <w:t>TM</w:t>
      </w:r>
      <w:r>
        <w:rPr>
          <w:rFonts w:ascii="Times New Roman" w:hAnsi="Times New Roman"/>
          <w:color w:val="000000"/>
          <w:sz w:val="20"/>
        </w:rPr>
        <w:t>, Etorel</w:t>
      </w:r>
      <w:r>
        <w:rPr>
          <w:rFonts w:ascii="Times New Roman" w:hAnsi="Times New Roman"/>
          <w:color w:val="000000"/>
          <w:sz w:val="13"/>
        </w:rPr>
        <w:t>TM</w:t>
      </w:r>
      <w:r>
        <w:rPr>
          <w:rFonts w:ascii="Times New Roman" w:hAnsi="Times New Roman"/>
          <w:color w:val="000000"/>
          <w:sz w:val="20"/>
        </w:rPr>
        <w:t>, and Contiva</w:t>
      </w:r>
      <w:r>
        <w:rPr>
          <w:rFonts w:ascii="Times New Roman" w:hAnsi="Times New Roman"/>
          <w:color w:val="000000"/>
          <w:sz w:val="13"/>
        </w:rPr>
        <w:t>TM</w:t>
      </w:r>
      <w:r>
        <w:rPr>
          <w:rFonts w:ascii="Times New Roman" w:hAnsi="Times New Roman"/>
          <w:color w:val="000000"/>
          <w:sz w:val="20"/>
        </w:rPr>
        <w:t>—as well as several product candidates in pre-clinical and clinical development. Gyre Pharmaceuticals’ product revenues are mainly generated from the sale of ETUARY</w:t>
      </w:r>
      <w:r>
        <w:rPr>
          <w:rFonts w:ascii="Times New Roman" w:hAnsi="Times New Roman"/>
          <w:color w:val="000000"/>
          <w:sz w:val="13"/>
        </w:rPr>
        <w:t>TM</w:t>
      </w:r>
      <w:r>
        <w:rPr>
          <w:rFonts w:ascii="Times New Roman" w:hAnsi="Times New Roman"/>
          <w:color w:val="000000"/>
          <w:sz w:val="20"/>
        </w:rPr>
        <w:t>, Etorel</w:t>
      </w:r>
      <w:r>
        <w:rPr>
          <w:rFonts w:ascii="Times New Roman" w:hAnsi="Times New Roman"/>
          <w:color w:val="000000"/>
          <w:sz w:val="13"/>
        </w:rPr>
        <w:t>TM</w:t>
      </w:r>
      <w:r>
        <w:rPr>
          <w:rFonts w:ascii="Times New Roman" w:hAnsi="Times New Roman"/>
          <w:color w:val="000000"/>
          <w:sz w:val="20"/>
        </w:rPr>
        <w:t>, Contiva</w:t>
      </w:r>
      <w:r>
        <w:rPr>
          <w:rFonts w:ascii="Times New Roman" w:hAnsi="Times New Roman"/>
          <w:color w:val="000000"/>
          <w:sz w:val="13"/>
        </w:rPr>
        <w:t>TM</w:t>
      </w:r>
      <w:r>
        <w:rPr>
          <w:rFonts w:ascii="Times New Roman" w:hAnsi="Times New Roman"/>
          <w:color w:val="000000"/>
          <w:sz w:val="20"/>
        </w:rPr>
        <w:t xml:space="preserve"> and certain generic drugs. Gyre Pharmaceuticals primarily sells its pharmaceutical products to distributors in the PRC, who ultimately sell the products to hospitals, other medical institutions and pharmacies.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Gyre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Gyre is a clinical-stage biopharmaceutical company focused on the discovery, development, and commercialization of innovative therapies for the treatment of cancer, inflammatory diseases and organ fibrosis. The Company's pipeline includes F351 for the treatment of MASH-associated liver fibrosis in the United States, as well as targeted protein degrader and degrader-antibody conjugate therapies under development including CG001419 for pain and solid tumors and CG009301 for acute myeloid leukemia (“AML”) in China. The Company is primarily engaged in research and development activities and does not currently generate commercial product revenue.</w:t>
      </w:r>
    </w:p>
    <w:p>
      <w:pPr>
        <w:pStyle w:val="TextBody"/>
        <w:bidi w:val="0"/>
        <w:jc w:val="both"/>
        <w:rPr/>
      </w:pPr>
      <w:r>
        <w:rPr/>
        <w:t> </w:t>
      </w:r>
    </w:p>
    <w:p>
      <w:pPr>
        <w:pStyle w:val="TextBody"/>
        <w:bidi w:val="0"/>
        <w:jc w:val="left"/>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Segment information for the three and six months ended June 30, 2026 and 2025 is as follows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45"/>
        <w:gridCol w:w="446"/>
        <w:gridCol w:w="405"/>
        <w:gridCol w:w="1304"/>
        <w:gridCol w:w="166"/>
        <w:gridCol w:w="146"/>
        <w:gridCol w:w="211"/>
        <w:gridCol w:w="631"/>
        <w:gridCol w:w="166"/>
        <w:gridCol w:w="146"/>
        <w:gridCol w:w="211"/>
        <w:gridCol w:w="736"/>
        <w:gridCol w:w="492"/>
      </w:tblGrid>
      <w:tr>
        <w:trPr/>
        <w:tc>
          <w:tcPr>
            <w:tcW w:w="51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5"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29,097</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29,105</w:t>
            </w:r>
          </w:p>
        </w:tc>
        <w:tc>
          <w:tcPr>
            <w:tcW w:w="49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5"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4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13,754</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5"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5"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9,697</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14,300</w:t>
            </w:r>
          </w:p>
        </w:tc>
        <w:tc>
          <w:tcPr>
            <w:tcW w:w="4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 related parties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5"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5"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7,862</w:t>
            </w:r>
          </w:p>
        </w:tc>
        <w:tc>
          <w:tcPr>
            <w:tcW w:w="4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145" w:type="dxa"/>
            <w:tcBorders/>
            <w:shd w:fill="CA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segment operating expenses</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05"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34,764</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8,699</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43,463</w:t>
            </w:r>
          </w:p>
        </w:tc>
        <w:tc>
          <w:tcPr>
            <w:tcW w:w="49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segment operations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(14,358</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(loss) income, net:</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5"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4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49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segment (loss)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(14,265</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5"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profit or loss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5"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net loss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gridSpan w:val="2"/>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(14,270</w:t>
            </w:r>
          </w:p>
        </w:tc>
        <w:tc>
          <w:tcPr>
            <w:tcW w:w="492"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stock-based compensation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5"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49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5"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9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5"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total</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6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492"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50"/>
        <w:gridCol w:w="446"/>
        <w:gridCol w:w="402"/>
        <w:gridCol w:w="1296"/>
        <w:gridCol w:w="166"/>
        <w:gridCol w:w="146"/>
        <w:gridCol w:w="211"/>
        <w:gridCol w:w="736"/>
        <w:gridCol w:w="166"/>
        <w:gridCol w:w="146"/>
        <w:gridCol w:w="211"/>
        <w:gridCol w:w="736"/>
        <w:gridCol w:w="493"/>
      </w:tblGrid>
      <w:tr>
        <w:trPr/>
        <w:tc>
          <w:tcPr>
            <w:tcW w:w="50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0"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0"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27,890</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27,890</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25,781</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0"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 related parties</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18,032</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0"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6,886</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6,886</w:t>
            </w:r>
          </w:p>
        </w:tc>
        <w:tc>
          <w:tcPr>
            <w:tcW w:w="493" w:type="dxa"/>
            <w:tcBorders>
              <w:bottom w:val="single" w:sz="4" w:space="0" w:color="000000"/>
            </w:tcBorders>
            <w:shd w:fill="CA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segment 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86,861</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0"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segment operations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(24,592</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w:t>
            </w:r>
          </w:p>
        </w:tc>
        <w:tc>
          <w:tcPr>
            <w:tcW w:w="4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(loss) income,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493"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0"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segment loss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(23,347</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(32,838</w:t>
            </w:r>
          </w:p>
        </w:tc>
        <w:tc>
          <w:tcPr>
            <w:tcW w:w="4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profit or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50"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general and administrative expenses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(32,849</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0"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stock-based compensation expense: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0"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49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0"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4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total</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19"/>
        <w:gridCol w:w="446"/>
        <w:gridCol w:w="402"/>
        <w:gridCol w:w="1293"/>
        <w:gridCol w:w="179"/>
        <w:gridCol w:w="158"/>
        <w:gridCol w:w="228"/>
        <w:gridCol w:w="685"/>
        <w:gridCol w:w="179"/>
        <w:gridCol w:w="158"/>
        <w:gridCol w:w="228"/>
        <w:gridCol w:w="733"/>
        <w:gridCol w:w="497"/>
      </w:tblGrid>
      <w:tr>
        <w:trPr/>
        <w:tc>
          <w:tcPr>
            <w:tcW w:w="501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 (As Recast)</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26,771</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29,734</w:t>
            </w:r>
          </w:p>
        </w:tc>
        <w:tc>
          <w:tcPr>
            <w:tcW w:w="497"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1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497"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15,195</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w:t>
            </w:r>
          </w:p>
        </w:tc>
        <w:tc>
          <w:tcPr>
            <w:tcW w:w="497"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19" w:type="dxa"/>
            <w:tcBorders/>
            <w:shd w:fill="CA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segment operating expenses</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0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22,541</w:t>
            </w:r>
          </w:p>
        </w:tc>
        <w:tc>
          <w:tcPr>
            <w:tcW w:w="179"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w:t>
            </w:r>
          </w:p>
        </w:tc>
        <w:tc>
          <w:tcPr>
            <w:tcW w:w="179"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31,972</w:t>
            </w:r>
          </w:p>
        </w:tc>
        <w:tc>
          <w:tcPr>
            <w:tcW w:w="49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segment operations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(loss) income, net:</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497"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79"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49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segment income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profit or loss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1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net loss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49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stock-based compensation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97"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7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497"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1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total</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7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7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49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24"/>
        <w:gridCol w:w="446"/>
        <w:gridCol w:w="404"/>
        <w:gridCol w:w="1302"/>
        <w:gridCol w:w="168"/>
        <w:gridCol w:w="147"/>
        <w:gridCol w:w="213"/>
        <w:gridCol w:w="687"/>
        <w:gridCol w:w="168"/>
        <w:gridCol w:w="147"/>
        <w:gridCol w:w="213"/>
        <w:gridCol w:w="687"/>
        <w:gridCol w:w="499"/>
      </w:tblGrid>
      <w:tr>
        <w:trPr/>
        <w:tc>
          <w:tcPr>
            <w:tcW w:w="51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 (As Recast)</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4"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48,829</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60,305</w:t>
            </w:r>
          </w:p>
        </w:tc>
        <w:tc>
          <w:tcPr>
            <w:tcW w:w="49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24"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49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26,035</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24"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4"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10,076</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16,442</w:t>
            </w:r>
          </w:p>
        </w:tc>
        <w:tc>
          <w:tcPr>
            <w:tcW w:w="49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15,476</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124" w:type="dxa"/>
            <w:tcBorders/>
            <w:shd w:fill="CA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segment operating expenses</w:t>
            </w:r>
          </w:p>
        </w:tc>
        <w:tc>
          <w:tcPr>
            <w:tcW w:w="446" w:type="dxa"/>
            <w:tcBorders/>
            <w:shd w:fill="CA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04"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40,860</w:t>
            </w:r>
          </w:p>
        </w:tc>
        <w:tc>
          <w:tcPr>
            <w:tcW w:w="168"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19,138</w:t>
            </w:r>
          </w:p>
        </w:tc>
        <w:tc>
          <w:tcPr>
            <w:tcW w:w="168"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59,998</w:t>
            </w:r>
          </w:p>
        </w:tc>
        <w:tc>
          <w:tcPr>
            <w:tcW w:w="499"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segment operations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4"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(loss) income, net:</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24"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49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24"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8"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499" w:type="dxa"/>
            <w:tcBorders>
              <w:bottom w:val="single" w:sz="4"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segment income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4"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profit or loss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CA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4"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net loss</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49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stock-based compensation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A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9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68"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A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499"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4"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total</w:t>
            </w:r>
          </w:p>
        </w:tc>
        <w:tc>
          <w:tcPr>
            <w:tcW w:w="4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2"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6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49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table below presents total assets as of June 30, 2026 and December 31, 2025. </w:t>
      </w:r>
    </w:p>
    <w:p>
      <w:pPr>
        <w:pStyle w:val="TextBody"/>
        <w:bidi w:val="0"/>
        <w:spacing w:before="0" w:after="120"/>
        <w:jc w:val="left"/>
        <w:rPr/>
      </w:pPr>
      <w:r>
        <w:rPr/>
        <w:t> </w:t>
      </w:r>
    </w:p>
    <w:tbl>
      <w:tblPr>
        <w:tblW w:w="8027" w:type="dxa"/>
        <w:jc w:val="left"/>
        <w:tblInd w:w="0" w:type="dxa"/>
        <w:tblLayout w:type="fixed"/>
        <w:tblCellMar>
          <w:top w:w="28" w:type="dxa"/>
          <w:left w:w="28" w:type="dxa"/>
          <w:bottom w:w="28" w:type="dxa"/>
          <w:right w:w="28" w:type="dxa"/>
        </w:tblCellMar>
      </w:tblPr>
      <w:tblGrid>
        <w:gridCol w:w="1066"/>
        <w:gridCol w:w="146"/>
        <w:gridCol w:w="366"/>
        <w:gridCol w:w="1359"/>
        <w:gridCol w:w="146"/>
        <w:gridCol w:w="146"/>
        <w:gridCol w:w="211"/>
        <w:gridCol w:w="676"/>
        <w:gridCol w:w="146"/>
        <w:gridCol w:w="146"/>
        <w:gridCol w:w="694"/>
        <w:gridCol w:w="1391"/>
        <w:gridCol w:w="146"/>
        <w:gridCol w:w="146"/>
        <w:gridCol w:w="223"/>
        <w:gridCol w:w="828"/>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Unallocated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139,241</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59,657</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199,255</w:t>
            </w:r>
          </w:p>
        </w:tc>
        <w:tc>
          <w:tcPr>
            <w:tcW w:w="1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27" w:type="dxa"/>
        <w:jc w:val="left"/>
        <w:tblInd w:w="0" w:type="dxa"/>
        <w:tblLayout w:type="fixed"/>
        <w:tblCellMar>
          <w:top w:w="28" w:type="dxa"/>
          <w:left w:w="28" w:type="dxa"/>
          <w:bottom w:w="28" w:type="dxa"/>
          <w:right w:w="28" w:type="dxa"/>
        </w:tblCellMar>
      </w:tblPr>
      <w:tblGrid>
        <w:gridCol w:w="1066"/>
        <w:gridCol w:w="146"/>
        <w:gridCol w:w="366"/>
        <w:gridCol w:w="1359"/>
        <w:gridCol w:w="146"/>
        <w:gridCol w:w="146"/>
        <w:gridCol w:w="211"/>
        <w:gridCol w:w="676"/>
        <w:gridCol w:w="146"/>
        <w:gridCol w:w="146"/>
        <w:gridCol w:w="694"/>
        <w:gridCol w:w="1391"/>
        <w:gridCol w:w="146"/>
        <w:gridCol w:w="146"/>
        <w:gridCol w:w="223"/>
        <w:gridCol w:w="828"/>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 (As Recast)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Unallocated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138,407</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81,000</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219,763</w:t>
            </w:r>
          </w:p>
        </w:tc>
        <w:tc>
          <w:tcPr>
            <w:tcW w:w="1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only includes cash outflows for the purchase of property and equipment and excludes non-cash activities.</w:t>
      </w:r>
    </w:p>
    <w:p>
      <w:pPr>
        <w:pStyle w:val="TextBody"/>
        <w:bidi w:val="0"/>
        <w:jc w:val="left"/>
        <w:rPr/>
      </w:pPr>
      <w:r>
        <w:rPr/>
        <w:t> </w:t>
      </w:r>
    </w:p>
    <w:tbl>
      <w:tblPr>
        <w:tblW w:w="9647" w:type="dxa"/>
        <w:jc w:val="left"/>
        <w:tblInd w:w="0" w:type="dxa"/>
        <w:tblLayout w:type="fixed"/>
        <w:tblCellMar>
          <w:top w:w="28" w:type="dxa"/>
          <w:left w:w="28" w:type="dxa"/>
          <w:bottom w:w="28" w:type="dxa"/>
          <w:right w:w="28" w:type="dxa"/>
        </w:tblCellMar>
      </w:tblPr>
      <w:tblGrid>
        <w:gridCol w:w="3046"/>
        <w:gridCol w:w="146"/>
        <w:gridCol w:w="576"/>
        <w:gridCol w:w="1149"/>
        <w:gridCol w:w="146"/>
        <w:gridCol w:w="146"/>
        <w:gridCol w:w="211"/>
        <w:gridCol w:w="316"/>
        <w:gridCol w:w="146"/>
        <w:gridCol w:w="146"/>
        <w:gridCol w:w="788"/>
        <w:gridCol w:w="1297"/>
        <w:gridCol w:w="146"/>
        <w:gridCol w:w="146"/>
        <w:gridCol w:w="350"/>
        <w:gridCol w:w="70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Unallocated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695" w:type="dxa"/>
        <w:jc w:val="left"/>
        <w:tblInd w:w="0" w:type="dxa"/>
        <w:tblLayout w:type="fixed"/>
        <w:tblCellMar>
          <w:top w:w="28" w:type="dxa"/>
          <w:left w:w="28" w:type="dxa"/>
          <w:bottom w:w="28" w:type="dxa"/>
          <w:right w:w="28" w:type="dxa"/>
        </w:tblCellMar>
      </w:tblPr>
      <w:tblGrid>
        <w:gridCol w:w="3046"/>
        <w:gridCol w:w="146"/>
        <w:gridCol w:w="576"/>
        <w:gridCol w:w="1149"/>
        <w:gridCol w:w="151"/>
        <w:gridCol w:w="151"/>
        <w:gridCol w:w="218"/>
        <w:gridCol w:w="327"/>
        <w:gridCol w:w="151"/>
        <w:gridCol w:w="151"/>
        <w:gridCol w:w="788"/>
        <w:gridCol w:w="1297"/>
        <w:gridCol w:w="151"/>
        <w:gridCol w:w="151"/>
        <w:gridCol w:w="350"/>
        <w:gridCol w:w="70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 (As Recast)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 Pharmaceuticals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Gyre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Unallocated 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5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A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5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A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91" w:type="dxa"/>
            <w:tcBorders>
              <w:bottom w:val="double" w:sz="6" w:space="0" w:color="000000"/>
            </w:tcBorders>
            <w:shd w:fill="CA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 this Quarterly Report on Form 10-Q (this “Quarterly Report”), unless otherwise specified, references to “we,” “our,” “us” and “our company” refer to Gyre Therapeutics, Inc. ("Gyre"), its directly owned subsidiary, Cullgen Inc. (“Cullgen”), and our majority indirectly owned subsidiary, Beijing Continent Pharmaceuticals Co., Ltd. (d/b/a Gyre Pharmaceuticals Co., Ltd.) (“Gyre Pharmaceuticals”). The following discussion and analysis of our financial condition and results of operations should be read in conjunction with the unaudited condensed consolidated financial statements and related notes that appear in this Quarterly Report and with the audited consolidated financial statements and related notes that are included as part of our Annual Report on Form 10-K for the year ended December 31, 2025 (the “Annual Report”).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In addition to historical information, this Report contains forward-looking statements within the meaning of Section 27A of the Securities Act of 1933, as amended, and Section 21E of the Securities Exchange Act of 1934, as amended (“the Exchange Act”). Forward-looking statements are identified by words such as “anticipate,” “believe,” “continue,” “could,” “estimate,” “expect,” “intend,” “may,” “plan,” “potentially,” “predict,” “should,” “will,”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For example, forward-looking statements include any statements regarding: the strategies, prospects, plans, expectations or objectives of management for future operations or the distribution of cash to Company stockholders, the benefits that may be derived from product candidates or the commercial or market opportunity in any target indication, our ability to protect intellectual property rights, our anticipated operations, financial position, revenues, costs or expenses, future economic conditions or performance, and statements of belief and any assumptions underlying any of the foregoing.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in Part I - Item 1A – “Risk Factors” in the Annual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commercial-stage biopharmaceutical company focused on the development and commercialization of small-molecule therapies for the treatment of organ fibrosis and inflammatory diseases. We operate through our majority indirectly owned subsidiary, Gyre Pharmaceuticals, in the People’s Republic of China (the “PRC”), and through our U.S. operations headquartered in San Diego, California.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May 2026, we acquired Cullgen Inc., a Delaware corporation (“Cullgen”), in accordance with the terms of the Agreement and Plan of Merger and Reorganization, dated March 2, 2026 (the “Merger Agreement”), by and among the Company, Helix Merger Sub Corp., a Delaware corporation and wholly owned subsidiary of the Company (“Merger Sub”), and Cullgen. Pursuant to the Merger Agreement, among other matters, Merger Sub merged with and into Cullgen, with Cullgen continuing as a wholly owned subsidiary of the Company and the surviving corporation of the merger (the “Merger”). The related transaction costs were expensed as incurred.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Cullgen is a clinical-stage biopharmaceutical company focused on the discovery and development of targeted protein degrader and degrader-antibody conjugate therapies designed to improve the lives of patients suffering from critical conditions such as pain, cancer and inflammatory diseases. Cullgen has created a portfolio of highly selective targeted protein degrader product candidates designed to potently and efficiently eliminate therapeutically relevant proteins in patients. By leveraging its expertise in targeted protein degraders, Cullgen believes its product candidates have many distinct advantages over other therapeutic modalities, including higher selectivity, improved therapeutic profile and avoidance of known toxicities.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always, we are in the process of reviewing our programs and evaluating our pipeline and clinical development strategy, including in connection with the Cullgen acquisition, to optimize capital allocation and prioritize programs across the organization. As a result of the Cullgen acquisition, we intend to leverage Cullgen’s capabilities in the PRC for the development and early-stage clinical trials of various product candidates.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Commercial Portfolio</w:t>
      </w:r>
    </w:p>
    <w:p>
      <w:pPr>
        <w:pStyle w:val="TextBody"/>
        <w:bidi w:val="0"/>
        <w:spacing w:before="240" w:after="283"/>
        <w:jc w:val="left"/>
        <w:rPr>
          <w:rFonts w:ascii="Times New Roman" w:hAnsi="Times New Roman"/>
          <w:sz w:val="20"/>
        </w:rPr>
      </w:pPr>
      <w:r>
        <w:rPr>
          <w:rFonts w:ascii="Times New Roman" w:hAnsi="Times New Roman"/>
          <w:i/>
          <w:color w:val="000000"/>
          <w:sz w:val="20"/>
        </w:rPr>
        <w:t>ETUARY</w:t>
      </w:r>
      <w:r>
        <w:rPr>
          <w:rFonts w:ascii="Times New Roman" w:hAnsi="Times New Roman"/>
          <w:i/>
          <w:color w:val="000000"/>
          <w:sz w:val="13"/>
        </w:rPr>
        <w:t>TM</w:t>
      </w:r>
      <w:r>
        <w:rPr>
          <w:rFonts w:ascii="Times New Roman" w:hAnsi="Times New Roman"/>
          <w:color w:val="000000"/>
          <w:sz w:val="20"/>
        </w:rPr>
        <w:t xml:space="preserve"> </w:t>
      </w:r>
      <w:r>
        <w:rPr>
          <w:rFonts w:ascii="Times New Roman" w:hAnsi="Times New Roman"/>
          <w:i/>
          <w:color w:val="000000"/>
          <w:sz w:val="20"/>
        </w:rPr>
        <w:t>(pirfenidone)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Pirfenidone is a small-molecule anti-fibrotic therapy for the treatment of idiopathic pulmonary fibrosis (“IPF”). It was first approved in Japan and subsequently approved in the PRC, the European Union (“EU”), and the United States. These approvals were obtained by different sponsors in their respective jurisdictions under separate regulatory frameworks.</w:t>
      </w:r>
    </w:p>
    <w:p>
      <w:pPr>
        <w:pStyle w:val="TextBody"/>
        <w:bidi w:val="0"/>
        <w:spacing w:before="120" w:after="283"/>
        <w:jc w:val="both"/>
        <w:rPr>
          <w:rFonts w:ascii="Times New Roman" w:hAnsi="Times New Roman"/>
          <w:sz w:val="20"/>
        </w:rPr>
      </w:pPr>
      <w:r>
        <w:rPr>
          <w:rFonts w:ascii="Times New Roman" w:hAnsi="Times New Roman"/>
          <w:color w:val="000000"/>
          <w:sz w:val="20"/>
        </w:rPr>
        <w:t>In the PRC, we conducted independent research and development to support our regulatory submission and received first-in-class approval in 2011 as a National Category 1.1 New Drug. We commercialized pirfenidone under the brand name ETUARY</w:t>
      </w:r>
      <w:r>
        <w:rPr>
          <w:rFonts w:ascii="Times New Roman" w:hAnsi="Times New Roman"/>
          <w:color w:val="000000"/>
          <w:sz w:val="13"/>
        </w:rPr>
        <w:t>TM</w:t>
      </w:r>
      <w:r>
        <w:rPr>
          <w:rFonts w:ascii="Times New Roman" w:hAnsi="Times New Roman"/>
          <w:color w:val="000000"/>
          <w:sz w:val="20"/>
        </w:rPr>
        <w:t>, which was included in the National Reimbursement Drug List in 2017 and has since maintained a leading market position.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IPF, we are pursuing potential label expansion into additional indications in the PRC, including pneumoconiosis, for which, in 2025, we completed enrollment of 272 patients in our 52-week Phase 3 trial, and radiation-induced lung injury (“RILI”), including cases with or without immune-related pneumonitis, for which the National Medical Products Administration (“NMPA”) approved our clinical trial application in March 2025, and we initiated an adaptive Phase 2/3 study in April 2026.</w:t>
      </w:r>
    </w:p>
    <w:p>
      <w:pPr>
        <w:pStyle w:val="TextBody"/>
        <w:bidi w:val="0"/>
        <w:spacing w:before="240" w:after="283"/>
        <w:jc w:val="both"/>
        <w:rPr>
          <w:rFonts w:ascii="Times New Roman" w:hAnsi="Times New Roman"/>
          <w:sz w:val="20"/>
        </w:rPr>
      </w:pPr>
      <w:r>
        <w:rPr>
          <w:rFonts w:ascii="Times New Roman" w:hAnsi="Times New Roman"/>
          <w:i/>
          <w:color w:val="000000"/>
          <w:sz w:val="20"/>
        </w:rPr>
        <w:t>Etorel</w:t>
      </w:r>
      <w:r>
        <w:rPr>
          <w:rFonts w:ascii="Times New Roman" w:hAnsi="Times New Roman"/>
          <w:i/>
          <w:color w:val="000000"/>
          <w:sz w:val="13"/>
        </w:rPr>
        <w:t>TM</w:t>
      </w:r>
      <w:r>
        <w:rPr>
          <w:rFonts w:ascii="Times New Roman" w:hAnsi="Times New Roman"/>
          <w:color w:val="000000"/>
          <w:sz w:val="20"/>
        </w:rPr>
        <w:t xml:space="preserve"> </w:t>
      </w:r>
      <w:r>
        <w:rPr>
          <w:rFonts w:ascii="Times New Roman" w:hAnsi="Times New Roman"/>
          <w:i/>
          <w:color w:val="000000"/>
          <w:sz w:val="20"/>
        </w:rPr>
        <w:t>(nintedanib esilate soft capsules)</w:t>
      </w:r>
    </w:p>
    <w:p>
      <w:pPr>
        <w:pStyle w:val="TextBody"/>
        <w:bidi w:val="0"/>
        <w:spacing w:before="120" w:after="283"/>
        <w:jc w:val="both"/>
        <w:rPr>
          <w:rFonts w:ascii="Times New Roman" w:hAnsi="Times New Roman"/>
          <w:sz w:val="20"/>
        </w:rPr>
      </w:pPr>
      <w:r>
        <w:rPr>
          <w:rFonts w:ascii="Times New Roman" w:hAnsi="Times New Roman"/>
          <w:color w:val="000000"/>
          <w:sz w:val="20"/>
        </w:rPr>
        <w:t>In May 2024, Gyre Pharmaceuticals entered into a comprehensive agreement with Jiangsu Wangao Pharmaceuticals Co., Ltd. to obtain the drug registration certificate for Etorel</w:t>
      </w:r>
      <w:r>
        <w:rPr>
          <w:rFonts w:ascii="Times New Roman" w:hAnsi="Times New Roman"/>
          <w:color w:val="000000"/>
          <w:sz w:val="13"/>
        </w:rPr>
        <w:t>TM</w:t>
      </w:r>
      <w:r>
        <w:rPr>
          <w:rFonts w:ascii="Times New Roman" w:hAnsi="Times New Roman"/>
          <w:color w:val="000000"/>
          <w:sz w:val="20"/>
        </w:rPr>
        <w:t xml:space="preserve"> (nintedanib) and become the marketing authorization holder in the PRC. Etorel</w:t>
      </w:r>
      <w:r>
        <w:rPr>
          <w:rFonts w:ascii="Times New Roman" w:hAnsi="Times New Roman"/>
          <w:color w:val="000000"/>
          <w:sz w:val="13"/>
        </w:rPr>
        <w:t>TM</w:t>
      </w:r>
      <w:r>
        <w:rPr>
          <w:rFonts w:ascii="Times New Roman" w:hAnsi="Times New Roman"/>
          <w:color w:val="000000"/>
          <w:sz w:val="20"/>
        </w:rPr>
        <w:t xml:space="preserve"> is approved as a standard-of-care therapy for IPF, systemic sclerosis-associated interstitial lung disease (“SSc-ILD”), and progressive pulmonary fibrosis (“PPF”). The addition of Etorel</w:t>
      </w:r>
      <w:r>
        <w:rPr>
          <w:rFonts w:ascii="Times New Roman" w:hAnsi="Times New Roman"/>
          <w:color w:val="000000"/>
          <w:sz w:val="13"/>
        </w:rPr>
        <w:t>TM</w:t>
      </w:r>
      <w:r>
        <w:rPr>
          <w:rFonts w:ascii="Times New Roman" w:hAnsi="Times New Roman"/>
          <w:color w:val="000000"/>
          <w:sz w:val="20"/>
        </w:rPr>
        <w:t xml:space="preserve"> to our commercial portfolio expanded treatment options for patients and strengthened Gyre’s leading position in the pulmonary fibrosis market. Commercialization of Etorel</w:t>
      </w:r>
      <w:r>
        <w:rPr>
          <w:rFonts w:ascii="Times New Roman" w:hAnsi="Times New Roman"/>
          <w:color w:val="000000"/>
          <w:sz w:val="13"/>
        </w:rPr>
        <w:t>TM</w:t>
      </w:r>
      <w:r>
        <w:rPr>
          <w:rFonts w:ascii="Times New Roman" w:hAnsi="Times New Roman"/>
          <w:color w:val="000000"/>
          <w:sz w:val="20"/>
        </w:rPr>
        <w:t xml:space="preserve"> in the PRC commenced in June 2025.</w:t>
      </w:r>
    </w:p>
    <w:p>
      <w:pPr>
        <w:pStyle w:val="TextBody"/>
        <w:bidi w:val="0"/>
        <w:spacing w:before="120" w:after="160"/>
        <w:jc w:val="both"/>
        <w:rPr>
          <w:rFonts w:ascii="Times New Roman" w:hAnsi="Times New Roman"/>
          <w:sz w:val="20"/>
        </w:rPr>
      </w:pPr>
      <w:r>
        <w:rPr>
          <w:rFonts w:ascii="Times New Roman" w:hAnsi="Times New Roman"/>
          <w:color w:val="000000"/>
          <w:sz w:val="20"/>
        </w:rPr>
        <w:t>On November 7, 2025, the National Healthcare Security Administration in the PRC released the Announcement of the Winning Bids for the National Centralized Drug Procurement, under which Etorel</w:t>
      </w:r>
      <w:r>
        <w:rPr>
          <w:rFonts w:ascii="Times New Roman" w:hAnsi="Times New Roman"/>
          <w:color w:val="000000"/>
          <w:sz w:val="13"/>
        </w:rPr>
        <w:t>TM</w:t>
      </w:r>
      <w:r>
        <w:rPr>
          <w:rFonts w:ascii="Times New Roman" w:hAnsi="Times New Roman"/>
          <w:color w:val="000000"/>
          <w:sz w:val="20"/>
        </w:rPr>
        <w:t xml:space="preserve"> was selected. As a result, we signed direct procurement contracts with various participating hospitals under the National Centralized Drug Procurement Program, and implementation commenced in March 2026. </w:t>
      </w:r>
    </w:p>
    <w:p>
      <w:pPr>
        <w:pStyle w:val="TextBody"/>
        <w:bidi w:val="0"/>
        <w:spacing w:before="80" w:after="160"/>
        <w:jc w:val="both"/>
        <w:rPr>
          <w:rFonts w:ascii="Times New Roman" w:hAnsi="Times New Roman"/>
          <w:sz w:val="20"/>
        </w:rPr>
      </w:pPr>
      <w:r>
        <w:rPr>
          <w:rFonts w:ascii="Times New Roman" w:hAnsi="Times New Roman"/>
          <w:i/>
          <w:color w:val="000000"/>
          <w:sz w:val="20"/>
        </w:rPr>
        <w:t>Contiva</w:t>
      </w:r>
      <w:r>
        <w:rPr>
          <w:rFonts w:ascii="Times New Roman" w:hAnsi="Times New Roman"/>
          <w:i/>
          <w:color w:val="000000"/>
          <w:sz w:val="13"/>
        </w:rPr>
        <w:t>TM</w:t>
      </w:r>
      <w:r>
        <w:rPr>
          <w:rFonts w:ascii="Times New Roman" w:hAnsi="Times New Roman"/>
          <w:color w:val="000000"/>
          <w:sz w:val="20"/>
        </w:rPr>
        <w:t xml:space="preserve"> </w:t>
      </w:r>
      <w:r>
        <w:rPr>
          <w:rFonts w:ascii="Times New Roman" w:hAnsi="Times New Roman"/>
          <w:i/>
          <w:color w:val="000000"/>
          <w:sz w:val="20"/>
        </w:rPr>
        <w:t>(avatrombopag maleate tablets)</w:t>
      </w:r>
    </w:p>
    <w:p>
      <w:pPr>
        <w:pStyle w:val="TextBody"/>
        <w:bidi w:val="0"/>
        <w:spacing w:before="80" w:after="283"/>
        <w:jc w:val="both"/>
        <w:rPr>
          <w:rFonts w:ascii="Times New Roman" w:hAnsi="Times New Roman"/>
          <w:sz w:val="20"/>
        </w:rPr>
      </w:pPr>
      <w:r>
        <w:rPr>
          <w:rFonts w:ascii="Times New Roman" w:hAnsi="Times New Roman"/>
          <w:color w:val="000000"/>
          <w:sz w:val="20"/>
        </w:rPr>
        <w:t>In June 2021, Gyre Pharmaceuticals acquired avatrombopag maleate tablets pursuant to a transfer agreement with Nanjing Healthnice Pharmaceutical Technology Co., Ltd. Avatrombopag is an oral thrombopoietin receptor agonist. In June 2024, the NMPA approved avatrombopag maleate tablets for the treatment of thrombocytopenia (“TP”) associated with chronic liver disease (“CLD”) in adult patients undergoing elective diagnostic procedures or therapy. In January 2025, the NMPA approved an additional indication for chronic immune thrombocytopenic purpura (“ITP”). Gyre Pharmaceuticals commenced commercialization of avatrombopag under the brand name Contiva</w:t>
      </w:r>
      <w:r>
        <w:rPr>
          <w:rFonts w:ascii="Times New Roman" w:hAnsi="Times New Roman"/>
          <w:color w:val="000000"/>
          <w:sz w:val="13"/>
        </w:rPr>
        <w:t>TM</w:t>
      </w:r>
      <w:r>
        <w:rPr>
          <w:rFonts w:ascii="Times New Roman" w:hAnsi="Times New Roman"/>
          <w:color w:val="000000"/>
          <w:sz w:val="20"/>
        </w:rPr>
        <w:t xml:space="preserve"> in the PRC in March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Product Candidate Pipeline</w:t>
      </w:r>
    </w:p>
    <w:p>
      <w:pPr>
        <w:pStyle w:val="TextBody"/>
        <w:bidi w:val="0"/>
        <w:spacing w:before="240" w:after="160"/>
        <w:jc w:val="both"/>
        <w:rPr>
          <w:rFonts w:ascii="Times New Roman" w:hAnsi="Times New Roman"/>
          <w:i/>
          <w:color w:val="000000"/>
          <w:sz w:val="20"/>
        </w:rPr>
      </w:pPr>
      <w:r>
        <w:rPr>
          <w:rFonts w:ascii="Times New Roman" w:hAnsi="Times New Roman"/>
          <w:i/>
          <w:color w:val="000000"/>
          <w:sz w:val="20"/>
        </w:rPr>
        <w:t>F351 (hydronidone)</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F351 is our lead development candidate for the treatment of liver fibrosis. It is a structurally modified derivative of pirfenidone designed to optimize metabolic properties while targeting the transforming growth factor (“TGF”)-β1 signaling pathway, a key mediator of fibrogenesis. We are developing F351 for two primary indications: chronic hepatitis B (“CHB”)-associated liver fibrosis in the PRC and metabolic dysfunction-associated steatohepatitis (“MASH”)-associated liver fibrosis in the United States. F351 represents our primary liver-focused development program and reflects our commitment to advancing therapies targeting both viral- and metabolic-associated liver fibrosis.</w:t>
      </w:r>
    </w:p>
    <w:p>
      <w:pPr>
        <w:pStyle w:val="TextBody"/>
        <w:bidi w:val="0"/>
        <w:spacing w:before="80" w:after="160"/>
        <w:jc w:val="both"/>
        <w:rPr>
          <w:rFonts w:ascii="Times New Roman" w:hAnsi="Times New Roman"/>
          <w:i/>
          <w:color w:val="000000"/>
          <w:sz w:val="20"/>
        </w:rPr>
      </w:pPr>
      <w:r>
        <w:rPr>
          <w:rFonts w:ascii="Times New Roman" w:hAnsi="Times New Roman"/>
          <w:i/>
          <w:color w:val="000000"/>
          <w:sz w:val="20"/>
        </w:rPr>
        <w:t>CHB-Associated Liver Fibrosis (PRC)</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For CHB-associated liver fibrosis, antiviral therapy may suppress viral infection but is not able to prevent, slow or reverse fibrosis progression, and anti-fibrotic treatment is recommended for intermediate and advanced liver fibrosis and early-stage cirrhosis. As of December 31, 2025, no small molecule or biologic drugs treating CHB-associated liver fibrosis have been approved globally. In recognition of the severity of the disease, lack of current therapies and the preliminary clinical evidence generated to date, the Center for Drug Evaluation (“CDE”) of the NMPA granted F351 Breakthrough Therapy designation in March 2021.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We conducted a Phase 3 randomized, double-blind, placebo controlled, entecavir-based, multi-center trial in the PRC assessing F351 in CHB-associated liver fibrosis. This trial was designed to randomize 248 patients, with a primary endpoint of ≥1-stage reduction in Ishak fibrosis score at Week 52 for F351 in combination with entecavir.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In May 2025, we reported that in the pivotal Phase 3 trial, F351 met its primary endpoint and also met a key secondary endpoint with statistically significant inflammation improvement without fibrosis progression at Week 52 versus placebo. F351 was well tolerated in the study, with a comparable incidence of serious adverse events and no patient discontinuations due to adverse events in the F351 group.</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The CDE of the NMPA granted priority review status to the New Drug Application (“NDA”) for F351 in March 2026. On March 22, 2026, Gyre Pharmaceuticals submitted its NDA to the CDE of the NMPA to seek conditional approval for F351, the Company’s lead product candidate, for the treatment of CHB-induced liver fibrosis. On May 12, 2026, the Company announced that the NMPA accepted its NDA. </w:t>
      </w:r>
    </w:p>
    <w:p>
      <w:pPr>
        <w:pStyle w:val="TextBody"/>
        <w:bidi w:val="0"/>
        <w:spacing w:before="80" w:after="160"/>
        <w:jc w:val="both"/>
        <w:rPr>
          <w:rFonts w:ascii="Times New Roman" w:hAnsi="Times New Roman"/>
          <w:i/>
          <w:color w:val="000000"/>
          <w:sz w:val="20"/>
        </w:rPr>
      </w:pPr>
      <w:r>
        <w:rPr>
          <w:rFonts w:ascii="Times New Roman" w:hAnsi="Times New Roman"/>
          <w:i/>
          <w:color w:val="000000"/>
          <w:sz w:val="20"/>
        </w:rPr>
        <w:t>MASH-Associated Liver Fibrosis (United States)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In the United States, we have completed a Phase 1 clinical trial in healthy volunteers evaluating F351’s safety, tolerability, and pharmacokinetics (“PK”). We continue to engage with the U.S. Food and Drug Administration regarding investigational new drug (“IND”) requirements for a Phase 2 clinical trial in MASH-associated liver fibrosis. </w:t>
      </w:r>
    </w:p>
    <w:p>
      <w:pPr>
        <w:pStyle w:val="TextBody"/>
        <w:bidi w:val="0"/>
        <w:spacing w:before="80" w:after="160"/>
        <w:jc w:val="both"/>
        <w:rPr>
          <w:rFonts w:ascii="Times New Roman" w:hAnsi="Times New Roman"/>
          <w:i/>
          <w:color w:val="000000"/>
          <w:sz w:val="20"/>
        </w:rPr>
      </w:pPr>
      <w:r>
        <w:rPr>
          <w:rFonts w:ascii="Times New Roman" w:hAnsi="Times New Roman"/>
          <w:i/>
          <w:color w:val="000000"/>
          <w:sz w:val="20"/>
        </w:rPr>
        <w:t>Pipeline Assets Following Cullgen Acquisition</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On May 4, 2026, Gyre Therapeutics acquired Cullgen Inc. in an all-stock transaction valued at approximately $300 million, and Cullgen became a wholly owned subsidiary of Gyre. Upon the closing of this transaction, Cullgen's former Chief Executive Officer (“CEO”), Dr. Ying Luo, was appointed President and CEO of Gyre and joined Gyre's Board. Additionally, Yue Xiong, former Chief Scientific Officer (“CSO”) of Cullgen, was appointed CSO of Gyre, and Thomas Eastling, former Chief Financial Officer (“CFO”) of Cullgen, was appointed CFO of Gyre, and Ping Zhang was named Executive Chairman. The combined company remains headquartered in San Diego with subsidiaries in Beijing and Shanghai, roughly 740 employees, and numerous announced therapeutic programs spanning inflammation/pain and cancer.</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TRKA Degrader for Pain (CG001419)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Gyre acquired Cullgen’s most advanced legacy product candidate, CG001419, an oral tropomyosin receptor kinase A (“TRKA”) degrader. CG001419 has been in development as a non-opioid alternative for pain management and, separately, as a treatment for various indications within oncology.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December 2025, Cullgen completed a Phase 1 study (NCT06636500) that was a single-center, randomized, placebo-controlled, double-blind, single-ascending-dose/food-effect (with or without food) and multiple-ascending-dose trial that evaluated the safety, tolerability and PK characteristics of CG001419 in 78 healthy volunteers. The study was conducted in Australia after receiving ethics committee approval in early 2025. Results from the study showed that all doses were well-tolerated with no drug-related serious adverse events observed.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TRKA Degrader for Solid Tumors (CG001419)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CG001419 is also currently being studied in a Phase 1 trial for the treatment of solid tumors. TRK proteins also act as oncogenic drivers when mutated or rearranged, leading to uncontrolled cell growth and tumor development. Cullgen’s TRK degrader for cancer is being developed as a selective, clinically active oral TRK degrader for the treatment of adult cancer patients with neurotrophic TRK gene abnormalities. For this indication, CG001419 is being evaluated in a Phase 1 clinical trial in China.</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GSPT1 Degrader for AML (CG009301)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Gyre acquired Cullgen’s second product candidate, CG009301, a highly selective degrader targeting the GSPT1 protein for the treatment of cancer, with development initially focused on hematologic malignancies. GSPT1 is a protein translation termination factor and plays a vital role in cancer cell survival and proliferation. Rapidly dividing hematologic cancer cells such as leukemia, including AML and acute lymphoblastic leukemia, high-risk myelodysplastic syndrome (“MDS”) and leukemia stem cells rely on GSPT1 to maintain protein synthesis during oncogenesis. These tumor cells are highly sensitive to GSPT1 depletion, which leads to impaired protein translation, activation of the integrated stress response and TP53-independent cell death. Cullgen initiated a Phase 1, dose-escalation trial in China of CG009301 in patients with high-risk hematologic malignancies in April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CDK2-Cyclin E Dual Degrader for Solid Tumors (CG923308)</w:t>
      </w:r>
    </w:p>
    <w:p>
      <w:pPr>
        <w:pStyle w:val="TextBody"/>
        <w:bidi w:val="0"/>
        <w:jc w:val="both"/>
        <w:rPr>
          <w:rFonts w:ascii="Times New Roman" w:hAnsi="Times New Roman"/>
          <w:color w:val="000000"/>
          <w:sz w:val="20"/>
        </w:rPr>
      </w:pPr>
      <w:r>
        <w:rPr>
          <w:rFonts w:ascii="Times New Roman" w:hAnsi="Times New Roman"/>
          <w:color w:val="000000"/>
          <w:sz w:val="20"/>
        </w:rPr>
        <w:t xml:space="preserve">We are developing CG923308, a highly potent and selective dual degrader of both the cyclin dependent kinase 2 (“CDK2”) and cyclin E proteins. In preclinical models of breast cancer resistant to endocrine therapies alone or in combination with a CDK4/6 inhibitor or other solid tumors characterized by cyclin E amplification, CG923308 demonstrated precise target degradation and outperformed the leading, late-stage clinical CDK2 inhibitors in development in blocking cell proliferation and achieving durable tumor suppression. Furthermore, CG923308 exhibits a favorable PK and safety profile. We plan to develop CG923308 for the treatment of solid tumors with CCNE1 amplification or HR+ / HER2- advanced breast cancer with resistance to current therapies. We intend to submit an IND application for CG923308 in the first quarter of 2027.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TYK2-JAK1 Degrader for Autoimmune Diseases (CG620953)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CG620953, a highly potent and selective dual degrader of Tyrosine kinase 2 (“TYK2”) and Janus kinase 1 (“JAK1”) while sparing JAK2. In preclinical studies, CG620953 demonstrated selective target degradation and outperformed commercialized TYK2 selective inhibitors in reducing disease activity. CG620953 also exhibits a favorable PK and safety profile, providing rationale for further evaluation in the clinic. We intend to submit an IND application for CG620953 in the first quarter of 2027.</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Degrader – Antibody Conjugates (“DACs”) as the Next-Generation of Antibody-Drug Conjugates (“ADCs”)</w:t>
      </w:r>
    </w:p>
    <w:p>
      <w:pPr>
        <w:pStyle w:val="TextBody"/>
        <w:bidi w:val="0"/>
        <w:spacing w:before="120" w:after="283"/>
        <w:jc w:val="both"/>
        <w:rPr>
          <w:rFonts w:ascii="Times New Roman" w:hAnsi="Times New Roman"/>
          <w:sz w:val="20"/>
        </w:rPr>
      </w:pPr>
      <w:r>
        <w:rPr>
          <w:rFonts w:ascii="Times New Roman" w:hAnsi="Times New Roman"/>
          <w:color w:val="000000"/>
          <w:sz w:val="20"/>
        </w:rPr>
        <w:t>We are developing a robust suite of DACs that target both solid tumors and hematological malignancies by pairing distinct protein degraders with tumor-specific antibodies. These preclinical DAC candidates demonstrate tumor associated antigen (</w:t>
      </w:r>
      <w:r>
        <w:rPr>
          <w:rFonts w:ascii="Times New Roman" w:hAnsi="Times New Roman"/>
          <w:color w:val="000000"/>
          <w:sz w:val="20"/>
          <w:u w:val="single"/>
        </w:rPr>
        <w:t>“</w:t>
      </w:r>
      <w:r>
        <w:rPr>
          <w:rFonts w:ascii="Times New Roman" w:hAnsi="Times New Roman"/>
          <w:color w:val="000000"/>
          <w:sz w:val="20"/>
        </w:rPr>
        <w:t>TAA</w:t>
      </w:r>
      <w:r>
        <w:rPr>
          <w:rFonts w:ascii="Times New Roman" w:hAnsi="Times New Roman"/>
          <w:color w:val="000000"/>
          <w:sz w:val="20"/>
          <w:u w:val="single"/>
        </w:rPr>
        <w:t>”</w:t>
      </w:r>
      <w:r>
        <w:rPr>
          <w:rFonts w:ascii="Times New Roman" w:hAnsi="Times New Roman"/>
          <w:color w:val="000000"/>
          <w:sz w:val="20"/>
        </w:rPr>
        <w:t xml:space="preserve">)-dependent cytotoxicity </w:t>
      </w:r>
      <w:r>
        <w:rPr>
          <w:rFonts w:ascii="Times New Roman" w:hAnsi="Times New Roman"/>
          <w:i/>
          <w:color w:val="000000"/>
          <w:sz w:val="20"/>
        </w:rPr>
        <w:t>in vitro</w:t>
      </w:r>
      <w:r>
        <w:rPr>
          <w:rFonts w:ascii="Times New Roman" w:hAnsi="Times New Roman"/>
          <w:color w:val="000000"/>
          <w:sz w:val="20"/>
        </w:rPr>
        <w:t xml:space="preserve"> and drive potent, durable tumor regression </w:t>
      </w:r>
      <w:r>
        <w:rPr>
          <w:rFonts w:ascii="Times New Roman" w:hAnsi="Times New Roman"/>
          <w:i/>
          <w:color w:val="000000"/>
          <w:sz w:val="20"/>
        </w:rPr>
        <w:t>in vivo</w:t>
      </w:r>
      <w:r>
        <w:rPr>
          <w:rFonts w:ascii="Times New Roman" w:hAnsi="Times New Roman"/>
          <w:color w:val="000000"/>
          <w:sz w:val="20"/>
        </w:rPr>
        <w:t xml:space="preserve">, including success in models resistant to standard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sz w:val="20"/>
        </w:rPr>
      </w:pPr>
      <w:r>
        <w:rPr>
          <w:rFonts w:ascii="Times New Roman" w:hAnsi="Times New Roman"/>
          <w:b/>
          <w:color w:val="000000"/>
          <w:sz w:val="20"/>
        </w:rPr>
        <w:t>Other Product Candidates</w:t>
      </w:r>
      <w:r>
        <w:rPr>
          <w:rFonts w:ascii="Times New Roman" w:hAnsi="Times New Roman"/>
          <w:color w:val="000000"/>
          <w:sz w:val="20"/>
        </w:rPr>
        <w:t xml:space="preserve">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We have completed a Phase 1 clinical trial of F573 in healthy volunteers in the PRC and are currently evaluating it in a multi-stage Phase 2 clinical trial initiated in March 2023 in patients with liver injury and liver failure.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F230 is our clinical-stage product candidate for the treatment of pulmonary arterial hypertension (“PAH”) in the PRC. F230 is a selective endothelin receptor A antagonist designed to address vascular remodeling and elevated pulmonary arterial pressure associated with PAH. F230 complements our broader organ-focused portfolio by expanding our development efforts into pulmonary vascular disease while remaining aligned with our strategy of targeting fibrotic and inflammatory pathways across organ systems. We submitted an IND application for F230 to the NMPA in March 2024, and the IND was approved in May 2024. The first subject was enrolled in the Phase 1 clinical trial in June 2025.</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F528 is our preclinical-stage product candidate for the treatment of chronic obstructive pulmonary disease in the PRC. F528 is an anti-inflammatory small-molecule compound designed to inhibit multiple inflammatory cytokines and potentially modify disease progression. F528 expands our pulmonary-focused development efforts beyond fibrosis and vascular disease into chronic inflammatory respiratory conditions, supporting our broader strategy of addressing organ diseases driven by inflammatory and fibrotic pathways. We anticipate submitting an IND application to the NMPA for F528 in 2026. </w:t>
      </w:r>
    </w:p>
    <w:p>
      <w:pPr>
        <w:pStyle w:val="TextBody"/>
        <w:bidi w:val="0"/>
        <w:spacing w:before="80" w:after="160"/>
        <w:jc w:val="both"/>
        <w:rPr>
          <w:rFonts w:ascii="Times New Roman" w:hAnsi="Times New Roman"/>
          <w:sz w:val="20"/>
        </w:rPr>
      </w:pPr>
      <w:r>
        <w:rPr>
          <w:rFonts w:ascii="Times New Roman" w:hAnsi="Times New Roman"/>
          <w:b/>
          <w:color w:val="000000"/>
          <w:sz w:val="20"/>
        </w:rPr>
        <w:t>Etorel</w:t>
      </w:r>
      <w:r>
        <w:rPr>
          <w:rFonts w:ascii="Times New Roman" w:hAnsi="Times New Roman"/>
          <w:b/>
          <w:color w:val="000000"/>
          <w:sz w:val="13"/>
        </w:rPr>
        <w:t>TM</w:t>
      </w:r>
      <w:r>
        <w:rPr>
          <w:rFonts w:ascii="Times New Roman" w:hAnsi="Times New Roman"/>
          <w:color w:val="000000"/>
          <w:sz w:val="20"/>
        </w:rPr>
        <w:t xml:space="preserve"> </w:t>
      </w:r>
      <w:r>
        <w:rPr>
          <w:rFonts w:ascii="Times New Roman" w:hAnsi="Times New Roman"/>
          <w:b/>
          <w:color w:val="000000"/>
          <w:sz w:val="20"/>
        </w:rPr>
        <w:t>IP Rights</w:t>
      </w:r>
    </w:p>
    <w:p>
      <w:pPr>
        <w:pStyle w:val="TextBody"/>
        <w:bidi w:val="0"/>
        <w:spacing w:before="80" w:after="160"/>
        <w:jc w:val="both"/>
        <w:rPr>
          <w:rFonts w:ascii="Times New Roman" w:hAnsi="Times New Roman"/>
          <w:sz w:val="20"/>
        </w:rPr>
      </w:pPr>
      <w:r>
        <w:rPr>
          <w:rFonts w:ascii="Times New Roman" w:hAnsi="Times New Roman"/>
          <w:color w:val="000000"/>
          <w:sz w:val="20"/>
        </w:rPr>
        <w:t>In May 2024, Gyre Pharmaceuticals entered into an agreement with Jiangsu Wangao Pharmaceuticals Co., Ltd. (the “Jiangsu Wangao Agreement”), effective from May 7, 2024 to May 6, 2035. Pursuant to the Jiangsu Wangao Agreement, Gyre Pharmaceuticals obtained the drug registration certificate for and became the marketing authorization holder of Etorel</w:t>
      </w:r>
      <w:r>
        <w:rPr>
          <w:rFonts w:ascii="Times New Roman" w:hAnsi="Times New Roman"/>
          <w:color w:val="000000"/>
          <w:sz w:val="13"/>
        </w:rPr>
        <w:t>TM</w:t>
      </w:r>
      <w:r>
        <w:rPr>
          <w:rFonts w:ascii="Times New Roman" w:hAnsi="Times New Roman"/>
          <w:color w:val="000000"/>
          <w:sz w:val="20"/>
        </w:rPr>
        <w:t xml:space="preserve"> (nintedanib, ethanesulfonate soft capsules), a small-molecule drug for the treatment of IPF, SSc-ILD and progressive pulmonary fibrosis, within the PRC. The total minimum payments under the Jiangsu Wangao Agreement are Chinese Renminbi (“RMB”) 35.0 million, or approximately $5.1 million, based on the June 30, 2026 spot exchange rate. This includes an upfront transfer fee of RMB 15.0 million, or approximately $2.2 million, payable in three installments, and subsequent payments based on annual sales over eight years following the commencement of commercial sales. Additionally, Gyre Pharmaceuticals will bear the costs associated with relocating the production site to a designated location and will cover all expenses related to the manufacturing process. As of June 30, 2026, we had paid four installments totaling RMB 23.0 million, or approximately $3.4 million, based on the June 30, 2026 spot exchange rate.</w:t>
      </w:r>
    </w:p>
    <w:p>
      <w:pPr>
        <w:pStyle w:val="TextBody"/>
        <w:bidi w:val="0"/>
        <w:spacing w:before="80" w:after="160"/>
        <w:jc w:val="both"/>
        <w:rPr>
          <w:rFonts w:ascii="Times New Roman" w:hAnsi="Times New Roman"/>
          <w:b/>
          <w:color w:val="000000"/>
          <w:sz w:val="20"/>
        </w:rPr>
      </w:pPr>
      <w:r>
        <w:rPr>
          <w:rFonts w:ascii="Times New Roman" w:hAnsi="Times New Roman"/>
          <w:b/>
          <w:color w:val="000000"/>
          <w:sz w:val="20"/>
        </w:rPr>
        <w:t>Long-Term Investment Measured Under Equity Method</w:t>
      </w:r>
    </w:p>
    <w:p>
      <w:pPr>
        <w:pStyle w:val="TextBody"/>
        <w:bidi w:val="0"/>
        <w:jc w:val="both"/>
        <w:rPr>
          <w:rFonts w:ascii="Times New Roman" w:hAnsi="Times New Roman"/>
          <w:color w:val="000000"/>
          <w:sz w:val="20"/>
        </w:rPr>
      </w:pPr>
      <w:r>
        <w:rPr>
          <w:rFonts w:ascii="Times New Roman" w:hAnsi="Times New Roman"/>
          <w:color w:val="000000"/>
          <w:sz w:val="20"/>
        </w:rPr>
        <w:t xml:space="preserve">On June 28, 2024, Gyre Pharmaceuticals entered into a partnership agreement as a limited partner and is obligated to pay $4.4 million for an 18.93% equity interest in the partnership. In April 2025, a new investor joined the partnership agreement, and as a result, Gyre Pharmaceuticals’ equity interest was adjusted to 18.35%. Pursuant to the partnership agreement, Gyre Pharmaceuticals, as a limited partner, shall not participate in any activities related to the management of the investment business. However, Gyre Pharmaceuticals may appoint a member to the advisory committee of the partnership.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our total investment into the partnership was $1.8 million and $1.7 million, respectively, and the carrying value of the Company’s long-term investment in this affiliate was $1.6 million and $1.6 million,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months ended June 30, 2026, we had a net loss of $14.3 million and net loss attributable to common stockholders of $11.7 million. For the six months ended June 30, 2026, we had net loss of $32.8 million and net loss attributable to common stockholders of $24.8 million. During the three months ended June 30, 2025, we had net loss of $2.2 million and net loss attributable to common stockholders of $2.0 million. For the six months ended June 30, 2025, we had net income of $2.7 million and net income attributable to common stockholders of $0.1 million. As of June 30, 2026, we had an accumulated deficit of $138.0 million and cash and cash equivalents of $43.3 million. As of December 31, 2025, we had an accumulated deficit of $112.6 million and cash and cash equivalents of $49.2 million.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of Pharmaceutical Products</w:t>
      </w:r>
    </w:p>
    <w:p>
      <w:pPr>
        <w:pStyle w:val="TextBody"/>
        <w:bidi w:val="0"/>
        <w:spacing w:before="120" w:after="283"/>
        <w:jc w:val="both"/>
        <w:rPr>
          <w:rFonts w:ascii="Times New Roman" w:hAnsi="Times New Roman"/>
          <w:sz w:val="20"/>
        </w:rPr>
      </w:pPr>
      <w:r>
        <w:rPr>
          <w:rFonts w:ascii="Times New Roman" w:hAnsi="Times New Roman"/>
          <w:color w:val="000000"/>
          <w:sz w:val="20"/>
        </w:rPr>
        <w:t>We generate revenue primarily through sales of ETUARY</w:t>
      </w:r>
      <w:r>
        <w:rPr>
          <w:rFonts w:ascii="Times New Roman" w:hAnsi="Times New Roman"/>
          <w:color w:val="000000"/>
          <w:sz w:val="13"/>
        </w:rPr>
        <w:t>TM</w:t>
      </w:r>
      <w:r>
        <w:rPr>
          <w:rFonts w:ascii="Times New Roman" w:hAnsi="Times New Roman"/>
          <w:color w:val="000000"/>
          <w:sz w:val="20"/>
        </w:rPr>
        <w:t>, Contiva</w:t>
      </w:r>
      <w:r>
        <w:rPr>
          <w:rFonts w:ascii="Times New Roman" w:hAnsi="Times New Roman"/>
          <w:color w:val="000000"/>
          <w:sz w:val="13"/>
        </w:rPr>
        <w:t>TM</w:t>
      </w:r>
      <w:r>
        <w:rPr>
          <w:rFonts w:ascii="Times New Roman" w:hAnsi="Times New Roman"/>
          <w:color w:val="000000"/>
          <w:sz w:val="20"/>
        </w:rPr>
        <w:t>, Etorel</w:t>
      </w:r>
      <w:r>
        <w:rPr>
          <w:rFonts w:ascii="Times New Roman" w:hAnsi="Times New Roman"/>
          <w:color w:val="000000"/>
          <w:sz w:val="13"/>
        </w:rPr>
        <w:t>TM</w:t>
      </w:r>
      <w:r>
        <w:rPr>
          <w:rFonts w:ascii="Times New Roman" w:hAnsi="Times New Roman"/>
          <w:color w:val="000000"/>
          <w:sz w:val="20"/>
        </w:rPr>
        <w:t xml:space="preserve"> and certain generic drugs in the PRC. Distributors are our direct customers, and sales to distributors accounted for 100% of the revenue. Such distributors sell our pharmaceutical products to certain outlets, including hospitals and other medical institutions, as well as pharmacies.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Collaborations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generate revenue through collaboration and license agreements with a strategic partner. Revenue consists of upfront nonrefundable payments and reimbursements for research and development services provided under the agreement and is recognized over time as the related research activities are performed.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 mainly consists of cost of sales representing direct and indirect costs incurred to bring the product to saleable condition. Cost of sales primarily consists of (i) raw material costs; (ii) staff costs for production employees, including stock-based compensation; (iii) depreciation and amortization related to property and equipment and intangible assets used in production; (iv) taxes and surcharges; (v) transportation costs; and (vi) miscellaneous other costs.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Selling and 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Selling and marketing expenses primarily relate to selling and marketing our products in the PRC and consist of expenses incurred from hosting academic conferences, seminars and symposia; promotional expenses associated with market education on our products for their use in hospitals; and staff costs primarily consisting of salaries, benefits and stock-based compensation for in-house marketing and promotion staff.</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expensed as incurred. Nonrefundable advance payments for goods or services used in research and development are initially deferred and capitalized in prepaid and other current assets. The capitalized amounts are then expensed as the related goods are delivered or services are performed, or until it is no longer expected that the goods or services will be delivered.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consist primarily of costs related to the pre-clinical and clinical development of our product candidates, which include payroll and other personnel-related expenses, including stock-based compensation, laboratory supplies and reagents, contract research and development services for pre-clinical research and clinical trials, materials, and consulting costs, as well as allocations of facilities, depreciation, and other overhead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record accrued expenses for estimated costs of the research and development activities conducted by third party service providers, which include outsourced research and development expenses, stock-based compensation and professional services. We record the estimated costs of research and development activities based upon the estimated amount of services provided but not yet invoiced, and include these costs in current liabilities and within research and development expense.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manage our research and development expenses by identifying the research and development activities we expect to be performed during a given period and then prioritizing efforts based on anticipated probability of successful technical development and regulatory approval, market potential, available human and capital resources, scientific data and other considerations. We regularly review our research and development activities based on unmet medical need and, as necessary, reallocate resources among our research and development portfolio that we believe will best support the long-term growth of our business. Although we do track and allocate certain operational research and development costs, as described above, we do not fully track and allocate research and development expenses at the individual product candidate level.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of (i) accounting, IT, legal, administrative, and other internal service staff costs; (ii) stock-based compensation representing share options granted to our functional employees; (iii) professional service fees, primarily for legal and accounting services; and (iv) other miscellaneous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Change in Fair Value of Warrant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a private placement conducted in October 2023 with GNI USA, Inc., we issued (i) 811 shares of our Series X Convertible Preferred Stock, par value $0.001 per share (the “Series X Preferred Stock”) and (ii) warrants to purchase up to 811 shares of Series X Preferred Stock (the “Preferred Stock Warrants”), which are freestanding financial instruments classified as warrant liability since the underlying securities are contingently redeemable upon the occurrence of events which are outside of our control. The Preferred Stock Warrants are recorded at fair value upon issuance and are subject to remeasurement at the end of each reporting period, with any change in fair value recognized in our statements of operations as other income.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consists primarily of interest earned on our long-term certificates of deposit. Interest income is recognized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consists mostly of government grants. Government grants are recognized at their fair value where there is reasonable assurance that the grant will be received, and all attaching conditions will be complied with. When the grant relates to an expense item, it is recognized as income on a systematic basis over the periods that the costs, for which it is intended to compensate, are expensed. Where the grant relates to an asset, the fair value is credited to a deferred income account and is released to profit or loss over the expected useful life of the relevant asset by equal annual installments or deducted from the carrying amount of the asset and released to profit or loss by way of a reduced depreciation charge.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expenses consist of any non-operating costs, such as loss from equity method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 for income taxes is comprised primarily of current income tax provision, mainly attributable to the profitable Gyre Pharmaceuticals operations in the PRC, and deferred income tax provision, mainly including deferred tax recognized for temporary differences in relation to research and development tax credit and net operating loss carryforwards for U.S. tax purposes and fixed and intangible assets, net of valuation allowances.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4, 2025, the One Big Beautiful Bill Act (the “OBBBA”) was enacted into law, which introduced several U.S. income tax provisions that have and may continue to potentially impact our provision for income taxes. The provisions include, but are not limited to, the immediate expensing of domestic research and development expenses beginning in 2025, as well as a modification to the Global Intangible Low-Taxed Income effective in 2026. We have recognized the effects of the OBBBA provisions on our financial results to the extent they are applicable to the six months ended June 30, 2026. We will continue to evaluate the impact of the OBBBA on our unaudited condensed consolidated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Comparison of the three months ended June 30, 2026 and 2025</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presented (in thousands, except percentage change): </w:t>
      </w:r>
    </w:p>
    <w:tbl>
      <w:tblPr>
        <w:tblW w:w="10205" w:type="dxa"/>
        <w:jc w:val="left"/>
        <w:tblInd w:w="0" w:type="dxa"/>
        <w:tblLayout w:type="fixed"/>
        <w:tblCellMar>
          <w:top w:w="28" w:type="dxa"/>
          <w:left w:w="28" w:type="dxa"/>
          <w:bottom w:w="28" w:type="dxa"/>
          <w:right w:w="28" w:type="dxa"/>
        </w:tblCellMar>
      </w:tblPr>
      <w:tblGrid>
        <w:gridCol w:w="4072"/>
        <w:gridCol w:w="546"/>
        <w:gridCol w:w="219"/>
        <w:gridCol w:w="765"/>
        <w:gridCol w:w="172"/>
        <w:gridCol w:w="151"/>
        <w:gridCol w:w="288"/>
        <w:gridCol w:w="925"/>
        <w:gridCol w:w="166"/>
        <w:gridCol w:w="146"/>
        <w:gridCol w:w="211"/>
        <w:gridCol w:w="736"/>
        <w:gridCol w:w="166"/>
        <w:gridCol w:w="146"/>
        <w:gridCol w:w="208"/>
        <w:gridCol w:w="692"/>
        <w:gridCol w:w="596"/>
      </w:tblGrid>
      <w:tr>
        <w:trPr/>
        <w:tc>
          <w:tcPr>
            <w:tcW w:w="407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parties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income,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Cullgen redeemable convertible preferred stock</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(11,663</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6"/>
        </w:rPr>
      </w:pPr>
      <w:r>
        <w:rPr>
          <w:rFonts w:ascii="Times New Roman" w:hAnsi="Times New Roman"/>
          <w:color w:val="000000"/>
          <w:sz w:val="16"/>
        </w:rPr>
        <w:t>*Not meaningful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sz w:val="20"/>
        </w:rPr>
      </w:pPr>
      <w:r>
        <w:rPr>
          <w:rFonts w:ascii="Times New Roman" w:hAnsi="Times New Roman"/>
          <w:color w:val="000000"/>
          <w:sz w:val="20"/>
        </w:rPr>
        <w:t>Revenues for the three months ended June 30, 2026 and 2025 were $29.1 million and $29.7 million, respectively, representing a decrease of $0.6 million, or 2%. Gyre Pharmaceuticals revenue increased during the period, primarily driven by higher ETUARY</w:t>
      </w:r>
      <w:r>
        <w:rPr>
          <w:rFonts w:ascii="Times New Roman" w:hAnsi="Times New Roman"/>
          <w:color w:val="000000"/>
          <w:sz w:val="13"/>
        </w:rPr>
        <w:t>TM</w:t>
      </w:r>
      <w:r>
        <w:rPr>
          <w:rFonts w:ascii="Times New Roman" w:hAnsi="Times New Roman"/>
          <w:color w:val="000000"/>
          <w:sz w:val="20"/>
        </w:rPr>
        <w:t xml:space="preserve"> sales volumes resulting from ETUARY</w:t>
      </w:r>
      <w:r>
        <w:rPr>
          <w:rFonts w:ascii="Times New Roman" w:hAnsi="Times New Roman"/>
          <w:color w:val="000000"/>
          <w:sz w:val="13"/>
        </w:rPr>
        <w:t>TM</w:t>
      </w:r>
      <w:r>
        <w:rPr>
          <w:rFonts w:ascii="Times New Roman" w:hAnsi="Times New Roman"/>
          <w:color w:val="000000"/>
          <w:sz w:val="20"/>
        </w:rPr>
        <w:t xml:space="preserve"> focused marketing efforts, despite lower Contiva</w:t>
      </w:r>
      <w:r>
        <w:rPr>
          <w:rFonts w:ascii="Times New Roman" w:hAnsi="Times New Roman"/>
          <w:color w:val="000000"/>
          <w:sz w:val="13"/>
        </w:rPr>
        <w:t>TM</w:t>
      </w:r>
      <w:r>
        <w:rPr>
          <w:rFonts w:ascii="Times New Roman" w:hAnsi="Times New Roman"/>
          <w:color w:val="000000"/>
          <w:sz w:val="20"/>
        </w:rPr>
        <w:t xml:space="preserve"> and Etorel</w:t>
      </w:r>
      <w:r>
        <w:rPr>
          <w:rFonts w:ascii="Times New Roman" w:hAnsi="Times New Roman"/>
          <w:color w:val="000000"/>
          <w:sz w:val="13"/>
        </w:rPr>
        <w:t>TM</w:t>
      </w:r>
      <w:r>
        <w:rPr>
          <w:rFonts w:ascii="Times New Roman" w:hAnsi="Times New Roman"/>
          <w:color w:val="000000"/>
          <w:sz w:val="20"/>
        </w:rPr>
        <w:t xml:space="preserve"> product revenues earned following the implementation of China's national centralized procurement program. The increase was offset by a $3.0 million decrease in collaboration revenue from the Astellas Agreement which ended in March 2026, resulting in an overall decrease in revenues of $0.6 million, or 2%, compared to the prior-year period.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Cost of Revenues</w:t>
      </w:r>
    </w:p>
    <w:p>
      <w:pPr>
        <w:pStyle w:val="TextBody"/>
        <w:bidi w:val="0"/>
        <w:spacing w:before="120" w:after="283"/>
        <w:jc w:val="both"/>
        <w:rPr>
          <w:rFonts w:ascii="Times New Roman" w:hAnsi="Times New Roman"/>
          <w:sz w:val="20"/>
        </w:rPr>
      </w:pPr>
      <w:r>
        <w:rPr>
          <w:rFonts w:ascii="Times New Roman" w:hAnsi="Times New Roman"/>
          <w:color w:val="000000"/>
          <w:sz w:val="20"/>
        </w:rPr>
        <w:t>Cost of revenues for the three months ended June 30, 2026 and 2025 were $2.2 million and $1.2 million, respectively. The $1.0 million, or 92%, increase was primarily driven by a $0.7 million increase in production costs associated with Etorel</w:t>
      </w:r>
      <w:r>
        <w:rPr>
          <w:rFonts w:ascii="Times New Roman" w:hAnsi="Times New Roman"/>
          <w:color w:val="000000"/>
          <w:sz w:val="13"/>
        </w:rPr>
        <w:t>TM</w:t>
      </w:r>
      <w:r>
        <w:rPr>
          <w:rFonts w:ascii="Times New Roman" w:hAnsi="Times New Roman"/>
          <w:color w:val="000000"/>
          <w:sz w:val="20"/>
        </w:rPr>
        <w:t xml:space="preserve"> products, a $0.2 million increase in production costs for the ETUARY</w:t>
      </w:r>
      <w:r>
        <w:rPr>
          <w:rFonts w:ascii="Times New Roman" w:hAnsi="Times New Roman"/>
          <w:color w:val="000000"/>
          <w:sz w:val="13"/>
        </w:rPr>
        <w:t>TM</w:t>
      </w:r>
      <w:r>
        <w:rPr>
          <w:rFonts w:ascii="Times New Roman" w:hAnsi="Times New Roman"/>
          <w:color w:val="000000"/>
          <w:sz w:val="20"/>
        </w:rPr>
        <w:t>, and a $0.1 million increase in stock-based compensation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and 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Selling and marketing expenses decreased $1.4 million, or 9%, for the three months ended June 30, 2026 compared to the three months ended June 30, 2025. The decrease was primarily attributable to a $2.5 million decrease in promotional and conference expenses as certain promotional objectives were achieved in the first quarter of 2026, reducing spending in the second quarter, partially offset by a $0.6 million increase in stock-based compensation expenses, and a $0.5 million increase in personnel-related costs, primarily due to increased sales commissions resulting from higher sales volumes during the second quarter of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table below details our costs for research and development for the periods presented (in thousands, except percentage change):</w:t>
      </w:r>
    </w:p>
    <w:tbl>
      <w:tblPr>
        <w:tblW w:w="9297" w:type="dxa"/>
        <w:jc w:val="left"/>
        <w:tblInd w:w="0" w:type="dxa"/>
        <w:tblLayout w:type="fixed"/>
        <w:tblCellMar>
          <w:top w:w="28" w:type="dxa"/>
          <w:left w:w="28" w:type="dxa"/>
          <w:bottom w:w="28" w:type="dxa"/>
          <w:right w:w="28" w:type="dxa"/>
        </w:tblCellMar>
      </w:tblPr>
      <w:tblGrid>
        <w:gridCol w:w="3571"/>
        <w:gridCol w:w="146"/>
        <w:gridCol w:w="243"/>
        <w:gridCol w:w="781"/>
        <w:gridCol w:w="168"/>
        <w:gridCol w:w="168"/>
        <w:gridCol w:w="359"/>
        <w:gridCol w:w="976"/>
        <w:gridCol w:w="146"/>
        <w:gridCol w:w="146"/>
        <w:gridCol w:w="217"/>
        <w:gridCol w:w="698"/>
        <w:gridCol w:w="166"/>
        <w:gridCol w:w="146"/>
        <w:gridCol w:w="254"/>
        <w:gridCol w:w="736"/>
        <w:gridCol w:w="37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depreciation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pre-clinical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Materials and 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Licensing fee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19,136</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6"/>
        </w:rPr>
      </w:pPr>
      <w:r>
        <w:rPr>
          <w:rFonts w:ascii="Times New Roman" w:hAnsi="Times New Roman"/>
          <w:color w:val="000000"/>
          <w:sz w:val="16"/>
        </w:rPr>
        <w:t>*Not meaningful</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Research and development expenses increased by $10.8 million, or 129%, for the three months ended June 30, 2026 compared to the three months ended June 30, 2025. The increase was primarily related to a $4.7 million increase in external clinical research expenses, mainly contributed to the F351 Phase 3C experimental review expense; a $4.8 million increase for the milestone payment Gyre Pharmaceuticals owed to GNI related to China's NMPA acceptance of NDA for F351 as a treatment for CHB induced liver fibrosis; a $0.7 million increase in pre-clinical expenses, and a $0.6 million increase in facilities, depreciation and other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by $0.6 million, or 8%, for the three months ended June 30, 2026 compared to the three months ended June 30, 2025. The increase was primarily driven by a $0.9 million increase in personnel costs related to the Company's internal restructuring, and a $0.2 million increase in miscellaneous expenses, partially offset by a $0.2 million decrease in stock-based compensation expenses and a $0.3 million decrease in professional fees.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Transaction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three months ended June 30, 2026, $0.5 million in transaction costs were incurred in connection with the acquisition of Cullgen closed in early May 2026.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 in Fair Value of Warrant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 in fair value of warrant liability decreased by $80 thousand, or 38%, for the three months ended June 30, 2026 compared to the three months ended June 30, 2025. The decrease was related to the remeasurement of the preferred stock warrants liability.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(loss)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decreased by $0.2 million, or 21%, for the three months ended June 30, 2026 compared to the three months ended June 30, 2025. The decrease was related to decreased interest rates on the Company's bank deposits.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expense, net increased by $0.5 million, or 93%, for the three months ended June 30, 2026 compared to the three months ended June 30, 2025. The increase was primarily due to higher foreign currency exchange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Benefit for income taxes was $0.2 million and provision for income taxes was $0.7 million for the three months ended June 30, 2026 and 2025, respectively. The change in income tax provision and effective tax rate was primarily due to the retrospective presentation of the common-control combination with Cullgen and increased research and development expenditures.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presented (in thousands, except percentage change): </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074"/>
        <w:gridCol w:w="546"/>
        <w:gridCol w:w="211"/>
        <w:gridCol w:w="736"/>
        <w:gridCol w:w="166"/>
        <w:gridCol w:w="146"/>
        <w:gridCol w:w="288"/>
        <w:gridCol w:w="925"/>
        <w:gridCol w:w="166"/>
        <w:gridCol w:w="146"/>
        <w:gridCol w:w="211"/>
        <w:gridCol w:w="736"/>
        <w:gridCol w:w="166"/>
        <w:gridCol w:w="146"/>
        <w:gridCol w:w="165"/>
        <w:gridCol w:w="783"/>
        <w:gridCol w:w="594"/>
      </w:tblGrid>
      <w:tr>
        <w:trPr/>
        <w:tc>
          <w:tcPr>
            <w:tcW w:w="407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parties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40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income,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Cullgen redeemable convertible preferred stock</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(19790</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6"/>
        </w:rPr>
      </w:pPr>
      <w:r>
        <w:rPr>
          <w:rFonts w:ascii="Times New Roman" w:hAnsi="Times New Roman"/>
          <w:color w:val="000000"/>
          <w:sz w:val="16"/>
        </w:rPr>
        <w:t>*Not meaningful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Revenues for the six months ended June 30, 2026 and 2025 were $53.5 million and $60.3 million, respectively, representing a decrease of $6.8 million </w:t>
      </w:r>
      <w:r>
        <w:rPr>
          <w:rFonts w:ascii="Times New Roman" w:hAnsi="Times New Roman"/>
          <w:color w:val="231F20"/>
          <w:sz w:val="20"/>
        </w:rPr>
        <w:t xml:space="preserve">or 11%. </w:t>
      </w:r>
      <w:r>
        <w:rPr>
          <w:rFonts w:ascii="Times New Roman" w:hAnsi="Times New Roman"/>
          <w:color w:val="000000"/>
          <w:sz w:val="20"/>
        </w:rPr>
        <w:t>Revenue from Gyre Pharmaceuticals increased during the period, primarily driven by higher ETUARY</w:t>
      </w:r>
      <w:r>
        <w:rPr>
          <w:rFonts w:ascii="Times New Roman" w:hAnsi="Times New Roman"/>
          <w:color w:val="000000"/>
          <w:sz w:val="13"/>
        </w:rPr>
        <w:t>TM</w:t>
      </w:r>
      <w:r>
        <w:rPr>
          <w:rFonts w:ascii="Times New Roman" w:hAnsi="Times New Roman"/>
          <w:color w:val="000000"/>
          <w:sz w:val="20"/>
        </w:rPr>
        <w:t xml:space="preserve"> sales volumes resulting from ETUARY</w:t>
      </w:r>
      <w:r>
        <w:rPr>
          <w:rFonts w:ascii="Times New Roman" w:hAnsi="Times New Roman"/>
          <w:color w:val="000000"/>
          <w:sz w:val="13"/>
        </w:rPr>
        <w:t>TM</w:t>
      </w:r>
      <w:r>
        <w:rPr>
          <w:rFonts w:ascii="Times New Roman" w:hAnsi="Times New Roman"/>
          <w:color w:val="000000"/>
          <w:sz w:val="20"/>
        </w:rPr>
        <w:t xml:space="preserve"> focused marketing efforts, despite lower Contiva</w:t>
      </w:r>
      <w:r>
        <w:rPr>
          <w:rFonts w:ascii="Times New Roman" w:hAnsi="Times New Roman"/>
          <w:color w:val="000000"/>
          <w:sz w:val="13"/>
        </w:rPr>
        <w:t>TM</w:t>
      </w:r>
      <w:r>
        <w:rPr>
          <w:rFonts w:ascii="Times New Roman" w:hAnsi="Times New Roman"/>
          <w:color w:val="000000"/>
          <w:sz w:val="20"/>
        </w:rPr>
        <w:t xml:space="preserve"> and Etorel</w:t>
      </w:r>
      <w:r>
        <w:rPr>
          <w:rFonts w:ascii="Times New Roman" w:hAnsi="Times New Roman"/>
          <w:color w:val="000000"/>
          <w:sz w:val="13"/>
        </w:rPr>
        <w:t>TM</w:t>
      </w:r>
      <w:r>
        <w:rPr>
          <w:rFonts w:ascii="Times New Roman" w:hAnsi="Times New Roman"/>
          <w:color w:val="000000"/>
          <w:sz w:val="20"/>
        </w:rPr>
        <w:t xml:space="preserve"> product revenues following the implementation of China's national centralized procurement program. The overall increase in revenue from Gyre Pharmaceuticals is offset by a $9.6 million decrease in collaboration revenue under the Astellas Agreement which ended in March 2026.</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Cost of Revenues</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Cost of revenues for the </w:t>
      </w:r>
      <w:r>
        <w:rPr>
          <w:rFonts w:ascii="Times New Roman" w:hAnsi="Times New Roman"/>
          <w:color w:val="000000"/>
          <w:sz w:val="20"/>
        </w:rPr>
        <w:t>six months ended June 30, 2026 and 2025</w:t>
      </w:r>
      <w:r>
        <w:rPr>
          <w:rFonts w:ascii="Times New Roman" w:hAnsi="Times New Roman"/>
          <w:color w:val="231F20"/>
          <w:sz w:val="20"/>
        </w:rPr>
        <w:t xml:space="preserve"> was </w:t>
      </w:r>
      <w:r>
        <w:rPr>
          <w:rFonts w:ascii="Times New Roman" w:hAnsi="Times New Roman"/>
          <w:color w:val="000000"/>
          <w:sz w:val="20"/>
        </w:rPr>
        <w:t>$3.4 million and $2.0 million</w:t>
      </w:r>
      <w:r>
        <w:rPr>
          <w:rFonts w:ascii="Times New Roman" w:hAnsi="Times New Roman"/>
          <w:color w:val="231F20"/>
          <w:sz w:val="20"/>
        </w:rPr>
        <w:t>, respectively. T</w:t>
      </w:r>
      <w:r>
        <w:rPr>
          <w:rFonts w:ascii="Times New Roman" w:hAnsi="Times New Roman"/>
          <w:color w:val="000000"/>
          <w:sz w:val="20"/>
        </w:rPr>
        <w:t xml:space="preserve">he $1.4 million, </w:t>
      </w:r>
      <w:r>
        <w:rPr>
          <w:rFonts w:ascii="Times New Roman" w:hAnsi="Times New Roman"/>
          <w:color w:val="231F20"/>
          <w:sz w:val="20"/>
        </w:rPr>
        <w:t xml:space="preserve">or 68%, </w:t>
      </w:r>
      <w:r>
        <w:rPr>
          <w:rFonts w:ascii="Times New Roman" w:hAnsi="Times New Roman"/>
          <w:color w:val="000000"/>
          <w:sz w:val="20"/>
        </w:rPr>
        <w:t>increase was primarily attributable to higher Etorel</w:t>
      </w:r>
      <w:r>
        <w:rPr>
          <w:rFonts w:ascii="Times New Roman" w:hAnsi="Times New Roman"/>
          <w:color w:val="000000"/>
          <w:sz w:val="13"/>
        </w:rPr>
        <w:t>TM</w:t>
      </w:r>
      <w:r>
        <w:rPr>
          <w:rFonts w:ascii="Times New Roman" w:hAnsi="Times New Roman"/>
          <w:color w:val="000000"/>
          <w:sz w:val="20"/>
        </w:rPr>
        <w:t xml:space="preserve"> product costs of $1.1 million and increased stock-based compensation expense of $0.3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and 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Selling and marketing expenses increased by $1.9 million, or 7%, for the six months ended June 30, 2026 compared to the six months ended June 30, 2025. The increase was primarily attributable to a $1.6 million increase in stock-based compensation expense, and a $0.4 million increase in promotional and conference expenses, partially offset by a $0.1 million decrease in travel and other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table below details our costs for research and development for the periods presented (in thousands, except percentage change):</w:t>
      </w:r>
    </w:p>
    <w:tbl>
      <w:tblPr>
        <w:tblW w:w="9117" w:type="dxa"/>
        <w:jc w:val="left"/>
        <w:tblInd w:w="0" w:type="dxa"/>
        <w:tblLayout w:type="fixed"/>
        <w:tblCellMar>
          <w:top w:w="28" w:type="dxa"/>
          <w:left w:w="28" w:type="dxa"/>
          <w:bottom w:w="28" w:type="dxa"/>
          <w:right w:w="28" w:type="dxa"/>
        </w:tblCellMar>
      </w:tblPr>
      <w:tblGrid>
        <w:gridCol w:w="3571"/>
        <w:gridCol w:w="146"/>
        <w:gridCol w:w="211"/>
        <w:gridCol w:w="677"/>
        <w:gridCol w:w="146"/>
        <w:gridCol w:w="146"/>
        <w:gridCol w:w="317"/>
        <w:gridCol w:w="1018"/>
        <w:gridCol w:w="146"/>
        <w:gridCol w:w="146"/>
        <w:gridCol w:w="217"/>
        <w:gridCol w:w="698"/>
        <w:gridCol w:w="166"/>
        <w:gridCol w:w="146"/>
        <w:gridCol w:w="186"/>
        <w:gridCol w:w="804"/>
        <w:gridCol w:w="37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depreciation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pre-clinical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Materials and utilities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Licensing fee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Research and development expenses increased by $14.2 million, or 86%, for the six months ended June 30, 2026 compared to the six months ended June 30, 2025. The increase was primarily related to an $8.9 million increase in external clinical research expenses, mainly contributed to the F351 Phase 3C experimental review expense; a $0.4 million increase in personnel-related expenses including stock-based compensation expenses, a $4.8 million increase for the milestone payment Gyre Pharmaceuticals owed to GNI related to China's NMPA acceptance of NDA for F351 as a treatment for CHB induced liver fibrosis; a $0.5 million increase in pre-clinical expenses, and a $0.4 million increase in materials and utilities expenses, partially offset by a $0.8 million decrease in facilities, depreciation and other expenses.</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jc w:val="both"/>
        <w:rPr>
          <w:rFonts w:ascii="Times New Roman" w:hAnsi="Times New Roman"/>
          <w:color w:val="000000"/>
          <w:sz w:val="20"/>
        </w:rPr>
      </w:pPr>
      <w:r>
        <w:rPr>
          <w:rFonts w:ascii="Times New Roman" w:hAnsi="Times New Roman"/>
          <w:color w:val="000000"/>
          <w:sz w:val="20"/>
        </w:rPr>
        <w:t>General and administrative expenses increased by $2.6 million, or 17%, for the six months ended June 30, 2026 compared to the six months ended June 30, 2025. The increase was primarily driven by a $2.7 million increase in personnel costs related to the Company's internal restructuring, a $0.9 million increase in miscellaneous expenses, a $0.6 million increase in stock-based compensation expenses, partially offset by a $1.6 million decrease in professional fees.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Transaction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2026, $3.8 million in transaction costs were incurred in connection with the termination of proposed merger between Cullgen and Pulmatrix, Inc. in February 2026, and $3.1 million were incurred related to the acquisition of Cullgen, which transaction closed in early May 2026, totaling $6.9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 in Fair Value of Warrant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 in fair value of warrant liability decreased by $2.2 million, or 91%, for the six months ended June 30, 2026 compared to the six months ended June 30, 2025. The decrease was related to the remeasurement of the preferred stock warrants liability.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(loss)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decreased by $0.3 million, or 17%, for the six months ended June 30, 2026 compared to the six months ended June 30, 2025. The decrease was related to decreased interest rates in the current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expense, net increased by $0.5 million, or 176%, for the six months ended June 30, 2026 compared to the six months ended June 30, 2025. The increase in other expense, net was primarily due to higher foreign currency exchange loss.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 for income taxes was $0.4 million and $1.6 million for the six months ended June 30, 2026 and 2025, respectively. The decrease was due to the retrospective presentation of the common-control combination with Cullgen, increased research and development expenditures, and the impact of valuation allowance on deferred tax assets, resulting in a negative effective tax rate for the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Refer to Note 2 — </w:t>
      </w:r>
      <w:r>
        <w:rPr>
          <w:rFonts w:ascii="Times New Roman" w:hAnsi="Times New Roman"/>
          <w:i/>
          <w:color w:val="000000"/>
          <w:sz w:val="20"/>
        </w:rPr>
        <w:t xml:space="preserve">Summary of Significant Accounting Policies </w:t>
      </w:r>
      <w:r>
        <w:rPr>
          <w:rFonts w:ascii="Times New Roman" w:hAnsi="Times New Roman"/>
          <w:color w:val="000000"/>
          <w:sz w:val="20"/>
        </w:rPr>
        <w:t>to the unaudited condensed consolidated financial statements included elsewhere in this Quarterly Report for more information about recent accounting pronouncements.</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cash and cash equivalents of $43.3 million, short-term bank deposits of $14.1 million, short-term investment of $17.5 million, and long-term certificates of deposit of $28.4 million, which are available to fund operations, and an accumulated deficit of $138.0 million. Our net loss during the six months ended June 30, 2026 was $32.8 million, while cash used in operating activities was $13.5 million. We believe that our existing cash and cash equivalents, cash flows from operations, and access to capital markets will be sufficient to fund our operating activities and obligations for at least the next 12 months following the filing date of this Quarterly Report and thereafter for the foreseeable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Future Funding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use cash provided by operating activities, short-term deposits, and long-term certificates of deposits, as well as potential cash issuances to meet our current and future financial obligations, including funding our operations, research and development activities, clinical pipelines, and capital expenditures. Our ability to make these payments depends on our future performance, which will be affected by financial, business, economic, regulatory, and other factors, many of which we cannot control. In addition, we anticipate that we will incur expenses related to and in connection with the integration between our business and Cullgen. Factors that may affect financing requirements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integration between our business and Cullgen;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progress, cost and results of our clinical trials, preclinical studies and other discovery and research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outcome of, and costs involved in, seeking and obtaining marketing approvals for our products, and in maintaining quality systems standards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and costs involved in, commercial activities, including product marketing, sales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commercialize and to obtain regulatory approval for, and successfully commercialize our other or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increases or decreases in revenue from our marketed products, including decreases in revenue resulting from generic entrants or health epidemics or pandemics;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development requirements of other product candidates that we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sufficient quantities of our products to meet expected demand;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preparing, filing, prosecuting, maintaining and enforcing any patent claims and other intellectual property rights, litigation costs and the results of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enter into collaboration, licensing or distribution arrangements and the terms and timing of these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need to expand our business, resulting in additional payroll and other overhead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in-licensing of other products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emergence of competing technologies or other adverse market or technological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impacts of inflation and resulting cost increases.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capital requirements will also depend on the extent to which we acquire or invest in additional complementary businesses, products and technologies.</w:t>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(in thousands): </w:t>
      </w:r>
    </w:p>
    <w:tbl>
      <w:tblPr>
        <w:tblW w:w="6722" w:type="dxa"/>
        <w:jc w:val="left"/>
        <w:tblInd w:w="0" w:type="dxa"/>
        <w:tblLayout w:type="fixed"/>
        <w:tblCellMar>
          <w:top w:w="28" w:type="dxa"/>
          <w:left w:w="28" w:type="dxa"/>
          <w:bottom w:w="28" w:type="dxa"/>
          <w:right w:w="28" w:type="dxa"/>
        </w:tblCellMar>
      </w:tblPr>
      <w:tblGrid>
        <w:gridCol w:w="3591"/>
        <w:gridCol w:w="146"/>
        <w:gridCol w:w="211"/>
        <w:gridCol w:w="736"/>
        <w:gridCol w:w="166"/>
        <w:gridCol w:w="146"/>
        <w:gridCol w:w="317"/>
        <w:gridCol w:w="1018"/>
        <w:gridCol w:w="3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(As Recast)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for the six months ended June 30, 2026 was $13.5 million, reflecting our net loss of $32.8 million and offset by non-cash items of $5.2 million, which was primarily driven by a $4.7 million increase in stock-based compensation. Additionally, $14.1 million cash provided by changes in net operating assets and liabilities was primarily driven by an $11.5 million decrease in receivables and prepaid and other assets, $4.8 million increase in related party payable, partially offset by an increase in inventories and a decrease in various payables and 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used in operating activities for the six months ended June 30, 2025 was $7.6 million, reflecting our net income of $2.7 million and non-cash charges of $1.6 million, which primarily included $1.9 million in stock-based compensation and $1.5 million in depreciation and amortization, partially offset by a $2.5 million change in the fair value of warrant liability. Additionally, $11.9 million cash used in changes in net operating assets and liabilities was primarily driven by a $8.2 million increase in accounts receivable, inventories, prepaid and other assets and a $10.5 million decrease in deferred revenue, income tax payable, and other operating lease liabilities, partially offset by a $3.9 million decrease in notes receivable and a $2.9 million increase in accounts payable and accrued liabilities.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increase in cash used in operating activities for the six months ended June 30, 2026 compared with cash used in operating activities for the six months ended June 30, 2025 was primarily attributable to less cash received under the Astellas Agreement that ended in March 2026 combined with the transaction costs associated with the Merger that closed in May 2026, as well as overall higher spending in clinical and other research programs.</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investing activities for the six months ended June 30, 2026 was $6.7 million, which consisted primarily of $13.0 million of proceeds from available-for-sale securities and $13.0 million of proceeds from the maturity of certificates of deposit, partially offset by $15.9 million in purchases of certificates of deposit, $1.0 million in acquisitions of intangible assets, $2.0 million in purchases of available-for-sale securities, and $0.4 million in purchases of 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investing activities for the six months ended June 30, 2025 was $3.3 million, which consisted primarily of $23.2 million of proceeds from the maturity of certificates of deposit and $11.7 million of proceeds from available-for-sale securities, partially offset by $19.2 million in purchases of certificates of deposit, $11.2 million in purchases of available-for-sale securities, $0.7 million in acquisitions of intangible assets, and $0.5 million in purchases of property and equipment.</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for the six months ended June 30, 2026 was $13 thousand, primarily due to proceeds from stock options exercised, partially offset by listing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for the six months ended June 30, 2025 was $21.6 million, primarily due to $23.0 million in proceeds from the issuance of common stock, $2.0 million in proceeds from the exercise of stock options, and $0.5 million in proceeds from the issuance of common stock under our ATM program with Jefferies LLC, partially offset by $2.1 million in payments of listing expenses and $1.8 million of cash used for deferred financing costs.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Net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PRC laws and regulations, Gyre Pharmaceuticals and Cullgen are subject to restrictions on foreign exchange and cross-border cash transfers, including to parent companies and U.S. stockholders. The ability to distribute earnings to the parent companies and U.S. stockholders is also limited. Current PRC regulations permit Gyre Pharmaceuticals to pay dividends to BJC only out of its accumulated profits as determined in accordance with PRC accounting standards and regulations. Amounts restricted include paid-in capital and the statutory reserves of Gyre Pharmaceuticals. The aggregate amounts of restricted capital and statutory reserves of the relevant subsidiaries not available for distribution were $131.6 million and $128.1 million as of June 30, 2026 and December 31, 2025. We do not expect the restrictions described above to have a material impact on our ability to meet our cash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to satisfy these contractual obligations and commitments through a combination of cash on hand, cash provided by operating activities, short-term deposits, and long-term certificates of deposits.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lease arrangements in (1) San Diego, California for our headquarters and subsidiary, the latest of which expires in July 2028, and (2) the PRC, for office and laboratory spaces through February 2037. As of June 30, 2026, our fixed lease payment obligations were $4.3 million, with $0.9 million payable within the remaining six months.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have committed to allocate $53.0 million toward future research and development activities for various programs.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commitments related to the purchase of property and equipment contracted but not yet reflected in the unaudited condensed consolidated financial statements were $1.2 million as of June 30, 2026 and are expected to be incurred within one year.</w:t>
      </w:r>
    </w:p>
    <w:p>
      <w:pPr>
        <w:pStyle w:val="TextBody"/>
        <w:bidi w:val="0"/>
        <w:spacing w:before="120" w:after="160"/>
        <w:jc w:val="both"/>
        <w:rPr>
          <w:rFonts w:ascii="Times New Roman" w:hAnsi="Times New Roman"/>
          <w:sz w:val="20"/>
        </w:rPr>
      </w:pPr>
      <w:r>
        <w:rPr>
          <w:rFonts w:ascii="Times New Roman" w:hAnsi="Times New Roman"/>
          <w:i/>
          <w:color w:val="000000"/>
          <w:sz w:val="20"/>
        </w:rPr>
        <w:t>Etorel</w:t>
      </w:r>
      <w:r>
        <w:rPr>
          <w:rFonts w:ascii="Times New Roman" w:hAnsi="Times New Roman"/>
          <w:i/>
          <w:color w:val="000000"/>
          <w:sz w:val="13"/>
        </w:rPr>
        <w:t>TM</w:t>
      </w:r>
      <w:r>
        <w:rPr>
          <w:rFonts w:ascii="Times New Roman" w:hAnsi="Times New Roman"/>
          <w:color w:val="000000"/>
          <w:sz w:val="20"/>
        </w:rPr>
        <w:t xml:space="preserve"> </w:t>
      </w:r>
      <w:r>
        <w:rPr>
          <w:rFonts w:ascii="Times New Roman" w:hAnsi="Times New Roman"/>
          <w:i/>
          <w:color w:val="000000"/>
          <w:sz w:val="20"/>
        </w:rPr>
        <w:t>IP Rights</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The Company is committed to annual payments to the </w:t>
      </w:r>
      <w:r>
        <w:rPr>
          <w:rFonts w:ascii="Times New Roman" w:hAnsi="Times New Roman"/>
          <w:i/>
          <w:color w:val="000000"/>
          <w:sz w:val="20"/>
        </w:rPr>
        <w:t>Etorel</w:t>
      </w:r>
      <w:r>
        <w:rPr>
          <w:rFonts w:ascii="Times New Roman" w:hAnsi="Times New Roman"/>
          <w:i/>
          <w:color w:val="000000"/>
          <w:sz w:val="13"/>
        </w:rPr>
        <w:t>TM</w:t>
      </w:r>
      <w:r>
        <w:rPr>
          <w:rFonts w:ascii="Times New Roman" w:hAnsi="Times New Roman"/>
          <w:color w:val="000000"/>
          <w:sz w:val="20"/>
        </w:rPr>
        <w:t xml:space="preserve"> IP Rights transferor over eight years following the commencement of commercial sales. See Note 11 — </w:t>
      </w:r>
      <w:r>
        <w:rPr>
          <w:rFonts w:ascii="Times New Roman" w:hAnsi="Times New Roman"/>
          <w:i/>
          <w:color w:val="000000"/>
          <w:sz w:val="20"/>
        </w:rPr>
        <w:t xml:space="preserve">Commitments and Contingencies </w:t>
      </w:r>
      <w:r>
        <w:rPr>
          <w:rFonts w:ascii="Times New Roman" w:hAnsi="Times New Roman"/>
          <w:color w:val="000000"/>
          <w:sz w:val="20"/>
        </w:rPr>
        <w:t xml:space="preserve">to the unaudited condensed consolidated financial statements included elsewhere in this Quarterly Report. </w:t>
      </w:r>
    </w:p>
    <w:p>
      <w:pPr>
        <w:pStyle w:val="TextBody"/>
        <w:bidi w:val="0"/>
        <w:jc w:val="both"/>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160"/>
        <w:jc w:val="both"/>
        <w:rPr>
          <w:rFonts w:ascii="Times New Roman" w:hAnsi="Times New Roman"/>
          <w:sz w:val="20"/>
        </w:rPr>
      </w:pPr>
      <w:r>
        <w:rPr>
          <w:rFonts w:ascii="Times New Roman" w:hAnsi="Times New Roman"/>
          <w:color w:val="000000"/>
          <w:sz w:val="20"/>
        </w:rPr>
        <w:t xml:space="preserve">Please refer to Note 2 — </w:t>
      </w:r>
      <w:r>
        <w:rPr>
          <w:rFonts w:ascii="Times New Roman" w:hAnsi="Times New Roman"/>
          <w:i/>
          <w:color w:val="000000"/>
          <w:sz w:val="20"/>
        </w:rPr>
        <w:t xml:space="preserve">Summary of Significant Accounting Policies </w:t>
      </w:r>
      <w:r>
        <w:rPr>
          <w:rFonts w:ascii="Times New Roman" w:hAnsi="Times New Roman"/>
          <w:color w:val="000000"/>
          <w:sz w:val="20"/>
        </w:rPr>
        <w:t xml:space="preserve">in the accompanying notes to the unaudited Condensed Consolidated Financial Statements included elsewhere in this Quarterly Report on Form 10-Q for a description of significant accounting policies.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Smaller Reporting Company and Accelerated Filer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“smaller reporting company” as defined in the Exchange Act.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aggregate market value of our common stock held by non-affiliates as of June 30, 2026, we remain a smaller reporting company and continue to qualify as an “accelerated filer”. As a result of our transition to accelerated filer status, we were required, pursuant to Section 404(b) of the Sarbanes-Oxley Act of 2002 (the “Sarbanes-Oxley Act”), to include in our Annual Report an attestation report from our independent registered public accounting firm regarding the effectiveness of our internal control over financial reporting, and we have complied with this requirement by including the attestation report in our Annual Report. However, we expect to continue to take advantage of the reduced reporting requirements applicable to smaller reporting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0" w:name="item3_quantitative_qualitative"/>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by Rule 12b-2 under the Exchange Act and in Item 10(f)(1) of Regulation S-K, and are not required to provide the information under this item.</w:t>
      </w:r>
    </w:p>
    <w:p>
      <w:pPr>
        <w:pStyle w:val="TextBody"/>
        <w:bidi w:val="0"/>
        <w:spacing w:before="360" w:after="283"/>
        <w:jc w:val="left"/>
        <w:rPr>
          <w:rFonts w:ascii="Times New Roman" w:hAnsi="Times New Roman"/>
          <w:b/>
          <w:color w:val="000000"/>
          <w:sz w:val="20"/>
        </w:rPr>
      </w:pPr>
      <w:bookmarkStart w:id="11" w:name="item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our management, with the participation and supervision of our principal executive officer and our principal financial officer, evaluated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this evaluation, our principal executive officer and our principal financial officer concluded that our disclosure controls and procedures were effective as of June 30, 2026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 except that management is in the process of evaluating the impact of the Merger on the Company's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2" w:name="part_ii_or_information"/>
      <w:bookmarkEnd w:id="12"/>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currently not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 and there can be no assurances that favorable outcomes will be obtained.</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carefully consider the factors discussed in Part I, Item 1A, “Risk Factors” in our Annual Report, which could materially affect our business, financial position, or future results of operations. The risks described in our Annual Report are not the only risks we face. Additional risks and uncertainties not currently known to us or that we currently deem to be immaterial also may materially adversely affect our business, financial position, or future results of operations. We may disclose changes to such factors or disclose additional factors from time to time in our future filings with the SEC. Except for the addition of the risk factor set forth below, there have been no material changes from the risk factors disclosed in Part I, Item 1A, “Risk Factors” in our Annual Report.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common stock is thinly traded and our outstanding shares are concentrated among a small number of holders. Sales of a substantial number of shares of our common stock, including in connection with the expiration of contractual lock-up agreements or any foreclosure upon shares pledged by our controlling stockholder, or the perception that such sales could occur, could cause the market price of our common stock to decline significantly.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Ownership of our common stock is highly concentrated. GNI Japan and its subsidiaries, including GNI USA (collectively, the “GNI Parties”), beneficially own a majority of our outstanding common stock, and our directors, executive officers and other principal stockholders hold a substantial portion of the remainder. As a result, the number of shares available for trading in the public market is limited, and the trading volume of our common stock is modest. Sales of a substantial number of shares of our common stock in the public market, or the perception that these sales could occur, could exceed the capacity of the trading market to absorb them at prevailing prices and could cause the market price of our common stock to decline significantly, and the concentration of our ownership and limited trading volume may make it difficult for our other stockholders to sell shares at the times and prices they consider appropriate.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sales of our common stock could occur through a number of channels. Shares may be sold under our effective registration statements, including registration statements covering resales by existing holders, or under Rule 144 following the expiration of contractual lock-up agreements, including the lock-up agreements entered into in connection with our acquisition of Cullgen that expire in stages beginning six months after the May 4, 2026 closing. In addition, holders of our common stock, including the GNI Parties and our directors and officers, may from time to time pledge their shares to secure indebtedness or other obligations, and a foreclosure upon pledged shares could result in the sale of a substantial number of shares at times and prices over which neither we nor the pledgor has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that regard, GNI Japan has publicly disclosed that on June 26, 2026 it entered into a loan agreement with Mizuho Bank, Ltd. and SBI Shinsei Bank, Limited providing for a JPY 20 billion term loan to finance GNI Japan’s acquisition of Ayumi Pharmaceutical Holdings Co., Ltd. and related expenses, and that the loan is secured by a pledge of shares of our common stock held by the GNI Parties. According to GNI Japan’s public disclosures, the loan was funded on July 1, 2026, matures on July 1, 2027 and is repayable in a single payment at maturity, and the loan agreement contains financial covenants tied to GNI Japan’s consolidated financial results that are tested as of the end of each of GNI Japan’s fiscal years, beginning with the fiscal year ending December 31, 2026. The loan agreement may also contain events of default and other terms that have not been publicly disclosed. If there was a default under the loan agreement, the lenders could foreclose upon and sell the pledged shares. Given the limited trading volume of our common stock, sales of all or a portion of the pledged shares, or the perception that such sales could occur, could cause the market price of our common stock to decline significantly. A foreclosure upon and sale of the pledged shares could also result in a change in control of the Company, could cause us to cease to qualify as a “controlled company” under Nasdaq rules and could result in one or more new significant stockholders whose interests may differ from those of our other stockholders.</w:t>
      </w:r>
    </w:p>
    <w:p>
      <w:pPr>
        <w:pStyle w:val="TextBody"/>
        <w:bidi w:val="0"/>
        <w:jc w:val="left"/>
        <w:rPr/>
      </w:pPr>
      <w:r>
        <w:rPr/>
        <w:t> </w:t>
      </w:r>
    </w:p>
    <w:p>
      <w:pPr>
        <w:pStyle w:val="TextBody"/>
        <w:bidi w:val="0"/>
        <w:spacing w:before="240" w:after="283"/>
        <w:jc w:val="left"/>
        <w:rPr>
          <w:rFonts w:ascii="Times New Roman" w:hAnsi="Times New Roman"/>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7" w:name="item_4_mine_safety_disclosures"/>
      <w:bookmarkEnd w:id="17"/>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David M. Epstein, Ph.D., a director of the Company, passed away on July 18, 2026. The size of the Company’s Board of Directors has been reduced from ten to nine members.</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June 30, 2026, no director or executive officer adopted or terminated a Rule 10b5-1 trading arrangement or a non-Rule 10b5-1 trading arrangement, as such terms are defined under Item 408(a)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9" w:name="item_6_exhibits"/>
      <w:bookmarkEnd w:id="19"/>
      <w:r>
        <w:rPr>
          <w:rFonts w:ascii="Times New Roman" w:hAnsi="Times New Roman"/>
          <w:b/>
          <w:color w:val="000000"/>
          <w:sz w:val="20"/>
        </w:rPr>
        <w:t>ITEM 6. EX</w:t>
      </w:r>
      <w:bookmarkStart w:id="20" w:name="exhibit_bookmark"/>
      <w:bookmarkEnd w:id="20"/>
      <w:r>
        <w:rPr>
          <w:rFonts w:ascii="Times New Roman" w:hAnsi="Times New Roman"/>
          <w:b/>
          <w:color w:val="000000"/>
          <w:sz w:val="20"/>
        </w:rPr>
        <w:t>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exhibits filed or furnished as part of this Quarterly Report are set forth below.</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932"/>
        <w:gridCol w:w="511"/>
        <w:gridCol w:w="713"/>
        <w:gridCol w:w="1463"/>
        <w:gridCol w:w="734"/>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3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Exhibit No.</w:t>
            </w:r>
          </w:p>
        </w:tc>
        <w:tc>
          <w:tcPr>
            <w:tcW w:w="73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Asset Purchase Agreement, dated as of December 26, 2022, by and among Catalyst Biosciences, Inc., GNI Group Ltd., and GNI Hong Kong Limited.</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 27, 2022</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Amendment to Asset Purchase Agreement, dated as of March 29, 2023, by and among Catalyst Biosciences, Inc., GNI Group Ltd., and GNI Hong Kong Limited.</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 30, 2023</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Business Combination Agreement, dated as of December 26, 2022, by and among Catalyst Biosciences, Inc., GNI USA, Inc., GNI Group Ltd., GNI Hong Kong Limited, Shanghai Genomics, Inc., the individuals listed on Annex A thereto and Continent Pharmaceuticals Inc.</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 27, 2022</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to Business Combination Agreement, dated as of March 29, 2023, by and among Catalyst Biosciences, Inc., GNI USA, Inc., GNI Group Ltd., GNI Hong Kong Limited, Shanghai Genomics, Inc., the Minority Holders and Continent Pharmaceuticals Inc.</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 30, 2023</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Second Amendment to Business Combination Agreement, dated as of August 30, 2023, by and among Catalyst Biosciences, Inc., GNI USA, Inc., GNI Group Ltd., GNI Hong Kong Limited, Shanghai Genomics, Inc. and Continent Pharmaceuticals Inc.</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 31, 2023</w:t>
            </w:r>
          </w:p>
        </w:tc>
      </w:tr>
      <w:tr>
        <w:trPr/>
        <w:tc>
          <w:tcPr>
            <w:tcW w:w="7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2.3</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jc w:val="left"/>
              <w:rPr/>
            </w:pPr>
            <w:hyperlink r:id="rId7">
              <w:r>
                <w:rPr>
                  <w:rStyle w:val="InternetLink"/>
                  <w:rFonts w:ascii="Times New Roman" w:hAnsi="Times New Roman"/>
                  <w:color w:val="0000FF"/>
                  <w:sz w:val="20"/>
                  <w:u w:val="single"/>
                </w:rPr>
                <w:t>Agreement and Plan of Merger and Reorganization, dated March 2, 2026, by and among Gyre Therapeutics, Inc., Helix Merger Sub Corp., and Cullgen Inc.</w:t>
              </w:r>
            </w:hyperlink>
          </w:p>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000-51173</w:t>
            </w:r>
          </w:p>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2.1</w:t>
            </w:r>
          </w:p>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 2, 2026</w:t>
            </w:r>
          </w:p>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Restated Certificate of Incorporation of the Company.</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 13, 2024</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Bylaws of the Company.</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 30, 2023</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Certificate of Designation of Preferences, Rights and Limitations of Series A Convertible Preferred Stock, filed with the Delaware Secretary of State on April 10, 2017.</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1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 3, 2017</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3"/>
        <w:gridCol w:w="146"/>
        <w:gridCol w:w="6913"/>
        <w:gridCol w:w="426"/>
        <w:gridCol w:w="772"/>
        <w:gridCol w:w="483"/>
        <w:gridCol w:w="832"/>
      </w:tblGrid>
      <w:tr>
        <w:trPr/>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Certificate of Elimination of Series A Preferred Stock, filed with the Delaware Secretary of State on March 25, 2024.</w:t>
              </w:r>
            </w:hyperlink>
          </w:p>
        </w:tc>
        <w:tc>
          <w:tcPr>
            <w:tcW w:w="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3.6(b)</w:t>
            </w:r>
          </w:p>
        </w:tc>
        <w:tc>
          <w:tcPr>
            <w:tcW w:w="8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 27, 2024</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Certificate of Designation of Preferences, Rights and Limitations of Series X Convertible Preferred Stock, filed with the Delaware Secretary of State on December 27, 2022.</w:t>
              </w:r>
            </w:hyperlink>
          </w:p>
        </w:tc>
        <w:tc>
          <w:tcPr>
            <w:tcW w:w="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8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 27, 2022</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Amendment to Certificate of Designation of Preferences, Rights and Limitations of Series X Convertible Preferred Stock, filed with the Delaware Secretary of State on October 30, 2023.</w:t>
              </w:r>
            </w:hyperlink>
          </w:p>
        </w:tc>
        <w:tc>
          <w:tcPr>
            <w:tcW w:w="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8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 30, 2023</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Certificate of Designation of Preferences, Rights and Limitations of Series Y Preferred Stock, filed with the Delaware Secretary of State on June 20, 2023, with respect to the Series Y Preferred Stock.</w:t>
              </w:r>
            </w:hyperlink>
          </w:p>
        </w:tc>
        <w:tc>
          <w:tcPr>
            <w:tcW w:w="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8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20, 2023</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Certificate of Elimination of Series Y Preferred Stock, filed with the Delaware Secretary of State on August 31, 2023.</w:t>
              </w:r>
            </w:hyperlink>
          </w:p>
        </w:tc>
        <w:tc>
          <w:tcPr>
            <w:tcW w:w="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8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 31, 2023</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Certificate of Designation of Preferences, Rights and Limitations of Series B Convertible Preferred Stock.</w:t>
              </w:r>
            </w:hyperlink>
          </w:p>
        </w:tc>
        <w:tc>
          <w:tcPr>
            <w:tcW w:w="4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000-51173</w:t>
            </w:r>
          </w:p>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3.1</w:t>
            </w:r>
          </w:p>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 2, 2026</w:t>
            </w:r>
          </w:p>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Warrant to Purchase Series X Convertible Preferred Stock.</w:t>
              </w:r>
            </w:hyperlink>
          </w:p>
        </w:tc>
        <w:tc>
          <w:tcPr>
            <w:tcW w:w="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000-51173</w:t>
            </w:r>
          </w:p>
        </w:tc>
        <w:tc>
          <w:tcPr>
            <w:tcW w:w="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8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 30, 2023</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hyperlink w:anchor="gyre-ex31_1.htm">
              <w:r>
                <w:rPr>
                  <w:rStyle w:val="InternetLink"/>
                  <w:rFonts w:ascii="Times New Roman" w:hAnsi="Times New Roman"/>
                  <w:color w:val="0000FF"/>
                  <w:sz w:val="20"/>
                  <w:u w:val="single"/>
                </w:rPr>
                <w:t>Certification of the Chief Executive Officer pursuant to Rule 13a-14(a) and 15d-14(a) of the Securities Exchange Act of 1934, as adopted pursuant to Section 302 of the Sarbanes-Oxley Act of 2002.</w:t>
              </w:r>
            </w:hyperlink>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hyperlink w:anchor="gyre-ex31_2.htm">
              <w:r>
                <w:rPr>
                  <w:rStyle w:val="InternetLink"/>
                  <w:rFonts w:ascii="Times New Roman" w:hAnsi="Times New Roman"/>
                  <w:color w:val="0000FF"/>
                  <w:sz w:val="20"/>
                  <w:u w:val="single"/>
                </w:rPr>
                <w:t>Certification of the Chief Financial Officer pursuant to Rule 13a-14(a) and 15d-14(a) of the Securities Exchange Act of 1934, as adopted pursuant to Section 302 of the Sarbanes-Oxley Act of 2002.</w:t>
              </w:r>
            </w:hyperlink>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hyperlink w:anchor="gyre-ex32_1.htm">
              <w:r>
                <w:rPr>
                  <w:rStyle w:val="InternetLink"/>
                  <w:rFonts w:ascii="Times New Roman" w:hAnsi="Times New Roman"/>
                  <w:color w:val="0000FF"/>
                  <w:sz w:val="20"/>
                  <w:u w:val="single"/>
                </w:rPr>
                <w:t>Certification of the Chief Executive Officer pursuant to Rule 13a-14(b) of the Exchange Act and 18 U.S.C. Section 1350, as adopted pursuant to Section 906 of the Sarbanes-Oxley Act of 2002.</w:t>
              </w:r>
            </w:hyperlink>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hyperlink w:anchor="gyre-ex32_2.htm">
              <w:r>
                <w:rPr>
                  <w:rStyle w:val="InternetLink"/>
                  <w:rFonts w:ascii="Times New Roman" w:hAnsi="Times New Roman"/>
                  <w:color w:val="0000FF"/>
                  <w:sz w:val="20"/>
                  <w:u w:val="single"/>
                </w:rPr>
                <w:t>Certification of the Chief Financial Officer pursuant to Rule 13a-14(b) of the Exchange Act and 18 U.S.C. Section 1350, as adopted pursuant to Section 906 of the Sarbanes-Oxley Act of 2002.</w:t>
              </w:r>
            </w:hyperlink>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(extensible Business Reporting Language) Instance Document</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47" w:type="dxa"/>
        <w:jc w:val="left"/>
        <w:tblInd w:w="0" w:type="dxa"/>
        <w:tblLayout w:type="fixed"/>
        <w:tblCellMar>
          <w:top w:w="28" w:type="dxa"/>
          <w:left w:w="28" w:type="dxa"/>
          <w:bottom w:w="28" w:type="dxa"/>
          <w:right w:w="28" w:type="dxa"/>
        </w:tblCellMar>
      </w:tblPr>
      <w:tblGrid>
        <w:gridCol w:w="961"/>
        <w:gridCol w:w="146"/>
        <w:gridCol w:w="7411"/>
        <w:gridCol w:w="146"/>
        <w:gridCol w:w="146"/>
        <w:gridCol w:w="146"/>
        <w:gridCol w:w="19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 and not deemed to be “filed” for purposes of Section 18 of the Exchange Act, and shall not be deemed to be incorporated by reference into any filing under the Securities Act or the Exchange Act.</w:t>
      </w:r>
    </w:p>
    <w:p>
      <w:pPr>
        <w:pStyle w:val="TextBody"/>
        <w:bidi w:val="0"/>
        <w:jc w:val="both"/>
        <w:rPr>
          <w:rFonts w:ascii="Times New Roman" w:hAnsi="Times New Roman"/>
          <w:color w:val="000000"/>
          <w:sz w:val="20"/>
        </w:rPr>
      </w:pPr>
      <w:r>
        <w:rPr>
          <w:rFonts w:ascii="Times New Roman" w:hAnsi="Times New Roman"/>
          <w:color w:val="000000"/>
          <w:sz w:val="20"/>
        </w:rPr>
        <w:t> The annexes, schedules, and certain exhibits to this Exhibit have been omitted pursuant to Item 601(a)(5).</w:t>
      </w:r>
    </w:p>
    <w:p>
      <w:pPr>
        <w:pStyle w:val="TextBody"/>
        <w:bidi w:val="0"/>
        <w:jc w:val="both"/>
        <w:rPr>
          <w:rFonts w:ascii="Times New Roman" w:hAnsi="Times New Roman"/>
          <w:color w:val="000000"/>
          <w:sz w:val="20"/>
        </w:rPr>
      </w:pPr>
      <w:r>
        <w:rPr>
          <w:rFonts w:ascii="Times New Roman" w:hAnsi="Times New Roman"/>
          <w:color w:val="000000"/>
          <w:sz w:val="20"/>
        </w:rPr>
        <w:t># Pursuant to Item 601(b)(10) of Regulation S-K, certain confidential portions of this exhibit were omitted by means of marking such portions with an asterisk because the identified confidential portions (i) the Company customarily and actually treats that information as private or confidential and (ii) the information was not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5863" w:type="dxa"/>
        <w:jc w:val="left"/>
        <w:tblInd w:w="0" w:type="dxa"/>
        <w:tblLayout w:type="fixed"/>
        <w:tblCellMar>
          <w:top w:w="28" w:type="dxa"/>
          <w:left w:w="28" w:type="dxa"/>
          <w:bottom w:w="28" w:type="dxa"/>
          <w:right w:w="28" w:type="dxa"/>
        </w:tblCellMar>
      </w:tblPr>
      <w:tblGrid>
        <w:gridCol w:w="1846"/>
        <w:gridCol w:w="14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GYRE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Date:August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Ying Luo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Ying Luo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 and President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Eastling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Thomas Eastling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and Accounting Officer</w:t>
            </w: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bookmarkStart w:id="22" w:name="gyre-ex31_1.htm"/>
      <w:bookmarkStart w:id="23" w:name="ksgyreex31_1"/>
      <w:bookmarkEnd w:id="22"/>
      <w:bookmarkEnd w:id="2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RULE 13a-14(a) AND 15d-14(a) OF THE SECURITIES EXCHANGE ACT</w:t>
      </w:r>
    </w:p>
    <w:p>
      <w:pPr>
        <w:pStyle w:val="TextBody"/>
        <w:bidi w:val="0"/>
        <w:jc w:val="center"/>
        <w:rPr>
          <w:rFonts w:ascii="Times New Roman" w:hAnsi="Times New Roman"/>
          <w:color w:val="000000"/>
          <w:sz w:val="20"/>
        </w:rPr>
      </w:pPr>
      <w:r>
        <w:rPr>
          <w:rFonts w:ascii="Times New Roman" w:hAnsi="Times New Roman"/>
          <w:color w:val="000000"/>
          <w:sz w:val="20"/>
        </w:rPr>
        <w:t>OF 1934,</w:t>
      </w:r>
    </w:p>
    <w:p>
      <w:pPr>
        <w:pStyle w:val="TextBody"/>
        <w:bidi w:val="0"/>
        <w:jc w:val="center"/>
        <w:rPr>
          <w:rFonts w:ascii="Times New Roman" w:hAnsi="Times New Roman"/>
          <w:color w:val="000000"/>
          <w:sz w:val="20"/>
        </w:rPr>
      </w:pPr>
      <w:r>
        <w:rPr>
          <w:rFonts w:ascii="Times New Roman" w:hAnsi="Times New Roman"/>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Ying Luo,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I have reviewed this Quarterly Report on Form 10-Q of Gyre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952" w:type="dxa"/>
        <w:jc w:val="left"/>
        <w:tblInd w:w="0" w:type="dxa"/>
        <w:tblLayout w:type="fixed"/>
        <w:tblCellMar>
          <w:top w:w="28" w:type="dxa"/>
          <w:left w:w="28" w:type="dxa"/>
          <w:bottom w:w="28" w:type="dxa"/>
          <w:right w:w="28" w:type="dxa"/>
        </w:tblCellMar>
      </w:tblPr>
      <w:tblGrid>
        <w:gridCol w:w="1891"/>
        <w:gridCol w:w="146"/>
        <w:gridCol w:w="146"/>
        <w:gridCol w:w="146"/>
        <w:gridCol w:w="146"/>
        <w:gridCol w:w="146"/>
        <w:gridCol w:w="333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August 7, 2026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Ying Luo</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Ying Luo</w:t>
            </w:r>
          </w:p>
          <w:p>
            <w:pPr>
              <w:pStyle w:val="TableContents"/>
              <w:bidi w:val="0"/>
              <w:jc w:val="left"/>
              <w:rPr>
                <w:rFonts w:ascii="Times New Roman" w:hAnsi="Times New Roman"/>
                <w:b/>
                <w:color w:val="000000"/>
                <w:sz w:val="20"/>
              </w:rPr>
            </w:pPr>
            <w:r>
              <w:rPr>
                <w:rFonts w:ascii="Times New Roman" w:hAnsi="Times New Roman"/>
                <w:b/>
                <w:color w:val="000000"/>
                <w:sz w:val="20"/>
              </w:rPr>
              <w:t>Chief Executive Officer and President</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gyre-ex31_2.htm"/>
      <w:bookmarkStart w:id="25" w:name="ksgyreex31_2"/>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RULE 13a-14(a) AND 15d-14(a) OF THE SECURITIES EXCHANGE ACT</w:t>
      </w:r>
    </w:p>
    <w:p>
      <w:pPr>
        <w:pStyle w:val="TextBody"/>
        <w:bidi w:val="0"/>
        <w:jc w:val="center"/>
        <w:rPr>
          <w:rFonts w:ascii="Times New Roman" w:hAnsi="Times New Roman"/>
          <w:color w:val="000000"/>
          <w:sz w:val="20"/>
        </w:rPr>
      </w:pPr>
      <w:r>
        <w:rPr>
          <w:rFonts w:ascii="Times New Roman" w:hAnsi="Times New Roman"/>
          <w:color w:val="000000"/>
          <w:sz w:val="20"/>
        </w:rPr>
        <w:t>OF 1934,</w:t>
      </w:r>
    </w:p>
    <w:p>
      <w:pPr>
        <w:pStyle w:val="TextBody"/>
        <w:bidi w:val="0"/>
        <w:jc w:val="center"/>
        <w:rPr>
          <w:rFonts w:ascii="Times New Roman" w:hAnsi="Times New Roman"/>
          <w:color w:val="000000"/>
          <w:sz w:val="20"/>
        </w:rPr>
      </w:pPr>
      <w:r>
        <w:rPr>
          <w:rFonts w:ascii="Times New Roman" w:hAnsi="Times New Roman"/>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Thomas Eastling,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I have reviewed this Quarterly Report on Form 10-Q of Gyre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447"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Thomas Eastling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Thomas Eastling</w:t>
            </w:r>
          </w:p>
          <w:p>
            <w:pPr>
              <w:pStyle w:val="TableContents"/>
              <w:bidi w:val="0"/>
              <w:jc w:val="left"/>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gyre-ex32_1.htm"/>
      <w:bookmarkStart w:id="27" w:name="ksgyreex32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Gyre Therapeutics, Inc. (the “Company”) for the period ended June 30, 2026 as filed with the Securities and Exchange Commission on the date hereof (the “Report”), I, Ying Luo, hereby certify, pursuant to 18 U.S.C. § 1350, as adopted pursuant to § 906 of the Sarbanes-Oxley Act of 2002, that, to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5907"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Ying Luo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Ying Luo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Executive Officer and President</w:t>
            </w:r>
          </w:p>
          <w:p>
            <w:pPr>
              <w:pStyle w:val="TableContents"/>
              <w:bidi w:val="0"/>
              <w:spacing w:before="0" w:after="2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foregoing certification is being furnished solely to accompany the Report pursuant to 18 U.S.C. § 1350, and is not being filed for purposes of Section 18 of the Securities Exchange Act of 1934, and is not to be incorporated by reference into any filing of the Company, whether made before or after the date hereof, regardless of any general incorporation language in such filing.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Note: A signed original of this written statement required by §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left"/>
        <w:rPr/>
      </w:pPr>
      <w:bookmarkStart w:id="28" w:name="gyre-ex32_2.htm"/>
      <w:bookmarkStart w:id="29" w:name="ksgyreex32_2"/>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Gyre Therapeutics, Inc. (the “Company”) for the period ended June 30, 2026 as filed with the Securities and Exchange Commission on the date hereof (the “Report”), I, Thomas Eastling, hereby certify, pursuant to 18 U.S.C. § 1350, as adopted pursuant to § 906 of the Sarbanes-Oxley Act of 2002, that, to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447"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Eastling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Thomas Eastling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and Accounting Officer</w:t>
            </w: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foregoing certification is being furnished solely to accompany the Report pursuant to 18 U.S.C. § 1350, and is not being filed for purposes of Section 18 of the Securities Exchange Act of 1934, and is not to be incorporated by reference into any filing of the Company, whether made before or after the date hereof, regardless of any general incorporation language in such filing.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Note: A signed original of this written statement required by §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24105/000114036122046943/brhc10045912_ex2-1.htm" TargetMode="External"/><Relationship Id="rId3" Type="http://schemas.openxmlformats.org/officeDocument/2006/relationships/hyperlink" Target="https://www.sec.gov/Archives/edgar/data/1124105/000114036123014819/brhc10050607_ex2-2.htm" TargetMode="External"/><Relationship Id="rId4" Type="http://schemas.openxmlformats.org/officeDocument/2006/relationships/hyperlink" Target="https://www.sec.gov/Archives/edgar/data/1124105/000114036122046943/brhc10045912_ex2-2.htm" TargetMode="External"/><Relationship Id="rId5" Type="http://schemas.openxmlformats.org/officeDocument/2006/relationships/hyperlink" Target="https://www.sec.gov/Archives/edgar/data/1124105/000114036123014819/brhc10050607_ex2-1.htm" TargetMode="External"/><Relationship Id="rId6" Type="http://schemas.openxmlformats.org/officeDocument/2006/relationships/hyperlink" Target="https://www.sec.gov/Archives/edgar/data/1124105/000114036123042067/brhc20058284_ex2-1.htm" TargetMode="External"/><Relationship Id="rId7" Type="http://schemas.openxmlformats.org/officeDocument/2006/relationships/hyperlink" Target="https://www.sec.gov/Archives/edgar/data/1124105/000114036126007249/ef20066398_ex2-1.htm" TargetMode="External"/><Relationship Id="rId8" Type="http://schemas.openxmlformats.org/officeDocument/2006/relationships/hyperlink" Target="https://www.sec.gov/Archives/edgar/data/1124105/000095017024126306/gyre-ex3_1.htm" TargetMode="External"/><Relationship Id="rId9" Type="http://schemas.openxmlformats.org/officeDocument/2006/relationships/hyperlink" Target="https://www.sec.gov/Archives/edgar/data/1124105/000114036123050292/ny20009756x10_ex3-3.htm" TargetMode="External"/><Relationship Id="rId10" Type="http://schemas.openxmlformats.org/officeDocument/2006/relationships/hyperlink" Target="https://www.sec.gov/Archives/edgar/data/1124105/000119312517121994/d375894dex31.htm" TargetMode="External"/><Relationship Id="rId11" Type="http://schemas.openxmlformats.org/officeDocument/2006/relationships/hyperlink" Target="https://www.sec.gov/Archives/edgar/data/1124105/000095017024037242/gyre-ex3_6b.htm" TargetMode="External"/><Relationship Id="rId12" Type="http://schemas.openxmlformats.org/officeDocument/2006/relationships/hyperlink" Target="https://www.sec.gov/Archives/edgar/data/1124105/000114036122046943/brhc10045912_ex3-1.htm" TargetMode="External"/><Relationship Id="rId13" Type="http://schemas.openxmlformats.org/officeDocument/2006/relationships/hyperlink" Target="https://www.sec.gov/Archives/edgar/data/1124105/000114036123050292/ny20009756x10_ex3-2.htm" TargetMode="External"/><Relationship Id="rId14" Type="http://schemas.openxmlformats.org/officeDocument/2006/relationships/hyperlink" Target="https://www.sec.gov/Archives/edgar/data/1124105/000114036123030517/brhc20054638_ex3-1.htm" TargetMode="External"/><Relationship Id="rId15" Type="http://schemas.openxmlformats.org/officeDocument/2006/relationships/hyperlink" Target="https://www.sec.gov/Archives/edgar/data/1124105/000114036123042067/brhc20058284_ex3-1.htm" TargetMode="External"/><Relationship Id="rId16" Type="http://schemas.openxmlformats.org/officeDocument/2006/relationships/hyperlink" Target="https://www.sec.gov/Archives/edgar/data/1124105/000114036126007249/ef20066398_ex3-1.htm" TargetMode="External"/><Relationship Id="rId17" Type="http://schemas.openxmlformats.org/officeDocument/2006/relationships/hyperlink" Target="https://www.sec.gov/Archives/edgar/data/1124105/000114036123050292/ny20009756x10_ex4-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28184</Words>
  <Characters>157829</Characters>
  <CharactersWithSpaces>188628</CharactersWithSpaces>
  <Paragraphs>10400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